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Kicker"/>
      </w:pPr>
      <w:r>
        <w:rPr>
          <w:color w:val="85182F"/>
        </w:rPr>
        <w:t xml:space="preserve">● </w:t>
      </w:r>
      <w:r>
        <w:rPr>
          <w:color w:val="85182F"/>
        </w:rPr>
        <w:t xml:space="preserve">C O N S U L T I F Y</w:t>
      </w:r>
    </w:p>
    <w:p>
      <w:pPr>
        <w:pStyle w:val="Kicker"/>
      </w:pPr>
      <w:r>
        <w:rPr>
          <w:color w:val="1D9E75"/>
        </w:rPr>
        <w:t xml:space="preserve">OCENA DOJRZAŁOŚCI CYFROWEJ · DIGITAL PATHFINDER</w:t>
      </w:r>
    </w:p>
    <w:p>
      <w:pPr>
        <w:pStyle w:val="DocStudioTitle"/>
      </w:pPr>
      <w:r>
        <w:t xml:space="preserve">Raport z oceny dojrzałości cyfrowej</w:t>
      </w:r>
    </w:p>
    <w:p>
      <w:pPr>
        <w:pStyle w:val="Subtitle"/>
      </w:pPr>
      <w:r>
        <w:t xml:space="preserve">Metalpol Sp. z o.o.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Klient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Metalpol Sp. z o.o.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Profil działalności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Obróbka i przetwórstwo metali · komponenty dla motoryzacji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Zatrudnienie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214 osób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Okres oceny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27 sierpnia 2026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Oceniający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anna.kowalczyk@demo-seed.invalid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Sponsor po stronie klienta</w:t>
            </w:r>
          </w:p>
        </w:tc>
        <w:tc>
          <w:tcPr>
            <w:tcW w:type="pct" w:w="68%"/>
          </w:tcPr>
          <w:p>
            <w:pPr>
              <w:pStyle w:val="Podpis"/>
            </w:pPr>
            <w:r>
              <w:rPr>
                <w:i/>
                <w:iCs/>
              </w:rPr>
              <w:t xml:space="preserve">Do uzupełnienia — dane nie są zapisane w sesji oceny.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Metodyka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Digital Pathfinder — metodyka oceny dojrzałości cyfrowej DRD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Sygnatura sesji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DRD-2026-0827-MTL</w:t>
            </w:r>
          </w:p>
        </w:tc>
      </w:tr>
      <w:tr>
        <w:tc>
          <w:tcPr>
            <w:tcW w:type="pct" w:w="32%"/>
          </w:tcPr>
          <w:p>
            <w:pPr>
              <w:pStyle w:val="Sygnatura"/>
            </w:pPr>
            <w:r>
              <w:rPr>
                <w:b/>
                <w:bCs/>
              </w:rPr>
              <w:t xml:space="preserve">Data wydania</w:t>
            </w:r>
          </w:p>
        </w:tc>
        <w:tc>
          <w:tcPr>
            <w:tcW w:type="pct" w:w="68%"/>
          </w:tcPr>
          <w:p>
            <w:pPr>
              <w:pStyle w:val="Tresc"/>
            </w:pPr>
            <w:r>
              <w:rPr>
                <w:i w:val="false"/>
                <w:iCs w:val="false"/>
              </w:rPr>
              <w:t xml:space="preserve">27 sierpnia 2026</w:t>
            </w:r>
          </w:p>
        </w:tc>
      </w:tr>
    </w:tbl>
    <w:p>
      <w:r>
        <w:br w:type="page"/>
      </w:r>
    </w:p>
    <w:p>
      <w:pPr>
        <w:pStyle w:val="Kicker"/>
        <w:pageBreakBefore/>
      </w:pPr>
      <w:r>
        <w:t xml:space="preserve">NAWIGACJA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Kicker"/>
        <w:keepNext/>
      </w:pPr>
      <w:r>
        <w:t xml:space="preserve">STRESZCZENIE</w:t>
      </w:r>
    </w:p>
    <w:p>
      <w:pPr>
        <w:pStyle w:val="Heading1"/>
        <w:pStyle w:val="Heading1"/>
        <w:keepNext/>
      </w:pPr>
      <w:r>
        <w:t xml:space="preserve">Streszczenie zarządcze</w:t>
      </w:r>
    </w:p>
    <w:p>
      <w:pPr>
        <w:pStyle w:val="Podpis"/>
      </w:pPr>
      <w:r>
        <w:t xml:space="preserve">Sekcja do uzupełnienia — limit 120–150 słów.</w:t>
      </w:r>
    </w:p>
    <w:p>
      <w:pPr>
        <w:pStyle w:val="Caption"/>
        <w:jc w:val="center"/>
      </w:pPr>
      <w:r>
        <w:drawing>
          <wp:inline distT="0" distB="0" distL="0" distR="0">
            <wp:extent cx="577215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 xml:space="preserve">Rysunek 1. Profil dojrzałości cyfrowej według siedmiu osi DRD.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Oś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Obecny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Docelowy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Luki krytyczne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39%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64%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33%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67%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27%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39%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71%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50%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78%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33%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78%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27%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67%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0</w:t>
            </w:r>
          </w:p>
        </w:tc>
      </w:tr>
    </w:tbl>
    <w:p>
      <w:pPr>
        <w:pStyle w:val="Caption"/>
      </w:pPr>
      <w:r>
        <w:t xml:space="preserve">Tabela 1. Zestawienie siedmiu osi DRD.</w:t>
      </w:r>
    </w:p>
    <w:p>
      <w:pPr>
        <w:pStyle w:val="Heading2"/>
        <w:pStyle w:val="Heading2"/>
      </w:pPr>
      <w:r>
        <w:t xml:space="preserve">Luki krytyczne i rekomendacja główna</w:t>
      </w:r>
    </w:p>
    <w:p>
      <w:pPr>
        <w:pStyle w:val="Podpis"/>
      </w:pPr>
      <w:r>
        <w:t xml:space="preserve">Sekcja do uzupełnienia — limit 120–150 słów.</w:t>
      </w:r>
    </w:p>
    <w:p>
      <w:pPr>
        <w:pStyle w:val="Kicker"/>
        <w:keepNext/>
        <w:pageBreakBefore/>
      </w:pPr>
      <w:r>
        <w:t xml:space="preserve">Rozdział 1 z 7 · oś 1 struktury DRD</w:t>
      </w:r>
    </w:p>
    <w:p>
      <w:pPr>
        <w:pStyle w:val="Heading1"/>
        <w:pStyle w:val="Heading1"/>
        <w:keepNext/>
      </w:pPr>
      <w:r>
        <w:t xml:space="preserve">1. Procesy Cyfrowe</w:t>
      </w:r>
    </w:p>
    <w:p>
      <w:pPr>
        <w:pStyle w:val="Podpis"/>
      </w:pPr>
      <w:r>
        <w:t xml:space="preserve">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"/>
        <w:gridCol w:w="544"/>
        <w:gridCol w:w="544"/>
        <w:gridCol w:w="544"/>
        <w:gridCol w:w="544"/>
        <w:gridCol w:w="544"/>
        <w:gridCol w:w="544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Sprzedaży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Marketingowe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Technologia Procesowa i R&amp;D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Zakupowe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Logistyczne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Produkcyjne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Jakości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Finansami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HR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2. 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1A Procesy Sprzedaży</w:t>
      </w:r>
    </w:p>
    <w:p>
      <w:pPr>
        <w:pStyle w:val="Sygnatura"/>
      </w:pPr>
      <w:r>
        <w:t xml:space="preserve">Poziom obecny: 3 (Kontrola procesu) · Poziom docelowy: 5 (MES) · Luka: 2 · Priorytet: Wysoki · Dowody: udokumentowane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1B Procesy Marketingowe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 pominięty w ocenie — kod: wiele kodów.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1C Technologia Procesowa i R&amp;D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1D Procesy Zakupowe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1E Procesy Logistyczne</w:t>
      </w:r>
    </w:p>
    <w:p>
      <w:pPr>
        <w:pStyle w:val="Sygnatura"/>
      </w:pPr>
      <w:r>
        <w:t xml:space="preserve">Poziom obecny: 2 (Kontrola stanowiska) · Poziom docelowy: 4 (Automatyzacja) · Luka: 2 · Priorytet: Wysoki · Dowody: udokumentowane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1F Procesy Produkcyjne</w:t>
      </w:r>
    </w:p>
    <w:p>
      <w:pPr>
        <w:pStyle w:val="Sygnatura"/>
      </w:pPr>
      <w:r>
        <w:t xml:space="preserve">Poziom obecny: 4 (Automatyzacja) · Poziom docelowy: 6 (ERP) · Luka: 2 · Priorytet: Wysoki · Dowody: udokumentowane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1G Procesy Jakości</w:t>
      </w:r>
    </w:p>
    <w:p>
      <w:pPr>
        <w:pStyle w:val="Sygnatura"/>
      </w:pPr>
      <w:r>
        <w:t xml:space="preserve">Poziom obecny: 2 (Kontrola stanowiska) · Poziom docelowy: 3 (Kontrola procesu) · Luka: 1 · Priorytet: Średni · Dowody: niepełne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1H Zarządzanie Finansami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1I Procesy HR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Rozdział 2 z 7 · oś 2 struktury DRD</w:t>
      </w:r>
    </w:p>
    <w:p>
      <w:pPr>
        <w:pStyle w:val="Heading1"/>
        <w:pStyle w:val="Heading1"/>
        <w:keepNext/>
      </w:pPr>
      <w:r>
        <w:t xml:space="preserve">2. Produkty Cyfrowe</w:t>
      </w:r>
    </w:p>
    <w:p>
      <w:pPr>
        <w:pStyle w:val="Podpis"/>
      </w:pPr>
      <w:r>
        <w:t xml:space="preserve">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Społecznościowe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ICT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Dopasowanie Produktu do Oczekiwań Klienta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Skalowalność Produktu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</w:tr>
    </w:tbl>
    <w:p>
      <w:pPr>
        <w:pStyle w:val="Caption"/>
      </w:pPr>
      <w:r>
        <w:t xml:space="preserve">Tabela 4. 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2A Produkty Cyfrowe</w:t>
      </w:r>
    </w:p>
    <w:p>
      <w:pPr>
        <w:pStyle w:val="Sygnatura"/>
      </w:pPr>
      <w:r>
        <w:t xml:space="preserve">Poziom obecny: 1 (Podstawowy) · Poziom docelowy: 3 (Zaawansowany) · Luka: 2 · Priorytet: Wysoki · Dowody: zadeklarowane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2B Produkty Społecznościowe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2C Produkty ICT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2D Dopasowanie Produktu do Oczekiwań Klienta</w:t>
      </w:r>
    </w:p>
    <w:p>
      <w:pPr>
        <w:pStyle w:val="Sygnatura"/>
      </w:pPr>
      <w:r>
        <w:t xml:space="preserve">Poziom obecny: 2 (Średniozaawansowany) · Poziom docelowy: 4 (Interaktywny) · Luka: 2 · Priorytet: Wysoki · Dowody: udokumentowane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2E Skalowalność Produktu</w:t>
      </w:r>
    </w:p>
    <w:p>
      <w:pPr>
        <w:pStyle w:val="Sygnatura"/>
      </w:pPr>
      <w:r>
        <w:t xml:space="preserve">Poziom obecny: 2 (Średniozaawansowany) · Poziom docelowy: 3 (Zaawansowany) · Luka: 1 · Priorytet: Średni · Dowody: zadeklarowane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Rozdział 3 z 7 · oś 3 struktury DRD</w:t>
      </w:r>
    </w:p>
    <w:p>
      <w:pPr>
        <w:pStyle w:val="Heading1"/>
        <w:pStyle w:val="Heading1"/>
        <w:keepNext/>
      </w:pPr>
      <w:r>
        <w:t xml:space="preserve">3. Cyfrowe Modele Biznesowe</w:t>
      </w:r>
    </w:p>
    <w:p>
      <w:pPr>
        <w:pStyle w:val="Podpis"/>
      </w:pPr>
      <w:r>
        <w:t xml:space="preserve">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E-commerce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Rozwiązania Platformowe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 As-a-Service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Współdzielenia Zasobów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Modele Monetyzacji Danych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</w:tbl>
    <w:p>
      <w:pPr>
        <w:pStyle w:val="Caption"/>
      </w:pPr>
      <w:r>
        <w:t xml:space="preserve">Tabela 6. 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3A Modele E-commerce</w:t>
      </w:r>
    </w:p>
    <w:p>
      <w:pPr>
        <w:pStyle w:val="Sygnatura"/>
      </w:pPr>
      <w:r>
        <w:t xml:space="preserve">Poziom obecny: 2 (Intermediate) · Poziom docelowy: 4 (Advanced Personalization) · Luka: 2 · Priorytet: Wysoki · Dowody: udokumentowane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3B Rozwiązania Platformowe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 pominięty w ocenie — kod: wiele kodów.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3C Model As-a-Service</w:t>
      </w:r>
    </w:p>
    <w:p>
      <w:pPr>
        <w:pStyle w:val="Sygnatura"/>
      </w:pPr>
      <w:r>
        <w:t xml:space="preserve">Poziom obecny: 1 (Basic) · Poziom docelowy: 2 (Intermediate) · Luka: 1 · Priorytet: Średni · Dowody: zadeklarowane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3D Modele Współdzielenia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3E Modele Monetyzacji Danych</w:t>
      </w:r>
    </w:p>
    <w:p>
      <w:pPr>
        <w:pStyle w:val="Sygnatura"/>
      </w:pPr>
      <w:r>
        <w:t xml:space="preserve">Poziom obecny: 1 (Basic) · Poziom docelowy: 3 (Advanced) · Luka: 2 · Priorytet: Wysoki · Dowody: niepełne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Rozdział 4 z 7 · oś 4 struktury DRD</w:t>
      </w:r>
    </w:p>
    <w:p>
      <w:pPr>
        <w:pStyle w:val="Heading1"/>
        <w:pStyle w:val="Heading1"/>
        <w:keepNext/>
      </w:pPr>
      <w:r>
        <w:t xml:space="preserve">4. Zarządzanie Danymi</w:t>
      </w:r>
    </w:p>
    <w:p>
      <w:pPr>
        <w:pStyle w:val="Podpis"/>
      </w:pPr>
      <w:r>
        <w:t xml:space="preserve">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4"/>
        <w:gridCol w:w="544"/>
        <w:gridCol w:w="544"/>
        <w:gridCol w:w="544"/>
        <w:gridCol w:w="544"/>
        <w:gridCol w:w="544"/>
        <w:gridCol w:w="544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Zbieranie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Metodologia Przechowywania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85182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Krytyczny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Komunikacja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Analiza Big Data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Przetwarzanie Danych</w:t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544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8. 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4A Zbieranie Danych</w:t>
      </w:r>
    </w:p>
    <w:p>
      <w:pPr>
        <w:pStyle w:val="Sygnatura"/>
      </w:pPr>
      <w:r>
        <w:t xml:space="preserve">Poziom obecny: 4 (Data from Machines and Devices) · Poziom docelowy: 6 (Data from Physical Objects) · Luka: 2 · Priorytet: Wysoki · Dowody: udokumentowane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4B Metodologia Przechowywania Danych</w:t>
      </w:r>
    </w:p>
    <w:p>
      <w:pPr>
        <w:pStyle w:val="Sygnatura"/>
      </w:pPr>
      <w:r>
        <w:t xml:space="preserve">Poziom obecny: 2 (Graphic Symbols) · Poziom docelowy: 5 (Mobile Data Collection) · Luka: 3 · Priorytet: Krytyczny · Dowody: udokumentowane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4C Komunikacja Danych</w:t>
      </w:r>
    </w:p>
    <w:p>
      <w:pPr>
        <w:pStyle w:val="Sygnatura"/>
      </w:pPr>
      <w:r>
        <w:t xml:space="preserve">Poziom obecny: 3 (Advanced Technological Solutions) · Poziom docelowy: 5 (Mobile Data Collection) · Luka: 2 · Priorytet: Wysoki · Dowody: udokumentowane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4D Analiza Big Data</w:t>
      </w:r>
    </w:p>
    <w:p>
      <w:pPr>
        <w:pStyle w:val="Sygnatura"/>
      </w:pPr>
      <w:r>
        <w:t xml:space="preserve">Poziom obecny: 2 (Graphic Symbols) · Poziom docelowy: 4 (Data from Machines and Devices) · Luka: 2 · Priorytet: Wysoki · Dowody: niepełne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4E Przetwarzanie Danych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Pominięte pytania: 4E-L1 — odroczone_do_kolejnej_rewizji; 4E-L2 — odroczone_do_kolejnej_rewizji.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Rozdział 5 z 7 · oś 5 struktury DRD</w:t>
      </w:r>
    </w:p>
    <w:p>
      <w:pPr>
        <w:pStyle w:val="Heading1"/>
        <w:pStyle w:val="Heading1"/>
        <w:keepNext/>
      </w:pPr>
      <w:r>
        <w:t xml:space="preserve">5. Kultura Transformacji</w:t>
      </w:r>
    </w:p>
    <w:p>
      <w:pPr>
        <w:pStyle w:val="Podpis"/>
      </w:pPr>
      <w:r>
        <w:t xml:space="preserve">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5"/>
        <w:gridCol w:w="635"/>
        <w:gridCol w:w="635"/>
        <w:gridCol w:w="635"/>
        <w:gridCol w:w="635"/>
        <w:gridCol w:w="635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Postawy przywódcze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Gotowość na zmianę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Ciągły rozwój kompetencji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innowacji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Dostępność zasobów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Caption"/>
      </w:pPr>
      <w:r>
        <w:t xml:space="preserve">Tabela 10. 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5A Postawy przywódcze</w:t>
      </w:r>
    </w:p>
    <w:p>
      <w:pPr>
        <w:pStyle w:val="Sygnatura"/>
      </w:pPr>
      <w:r>
        <w:t xml:space="preserve">Poziom obecny: 4 (Wspierający) · Poziom docelowy: 5 (Innowator) · Luka: 1 · Priorytet: Średni · Dowody: udokumentowane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5B Gotowość na zmianę</w:t>
      </w:r>
    </w:p>
    <w:p>
      <w:pPr>
        <w:pStyle w:val="Sygnatura"/>
      </w:pPr>
      <w:r>
        <w:t xml:space="preserve">Poziom obecny: 3 (Dyrektywny) · Poziom docelowy: 5 (Innowator) · Luka: 2 · Priorytet: Wysoki · Dowody: udokumentowane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5C Ciągły rozwój kompetencji</w:t>
      </w:r>
    </w:p>
    <w:p>
      <w:pPr>
        <w:pStyle w:val="Sygnatura"/>
      </w:pPr>
      <w:r>
        <w:t xml:space="preserve">Poziom obecny: 2 (Autokratyczny) · Poziom docelowy: 4 (Wspierający) · Luka: 2 · Priorytet: Wysoki · Dowody: zadeklarowane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5D Kultura innowacji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Pominięte pytania: 5D-L1 — poza_zakresem_zlecenia; 5D-L2 — poza_modelem_operacyjnym.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5E Dostępność zasobów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Rozdział 6 z 7 · oś 6 struktury DRD</w:t>
      </w:r>
    </w:p>
    <w:p>
      <w:pPr>
        <w:pStyle w:val="Heading1"/>
        <w:pStyle w:val="Heading1"/>
        <w:keepNext/>
      </w:pPr>
      <w:r>
        <w:t xml:space="preserve">6. Cyberbezpieczeństwo</w:t>
      </w:r>
    </w:p>
    <w:p>
      <w:pPr>
        <w:pStyle w:val="Podpis"/>
      </w:pPr>
      <w:r>
        <w:t xml:space="preserve">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5"/>
        <w:gridCol w:w="635"/>
        <w:gridCol w:w="635"/>
        <w:gridCol w:w="635"/>
        <w:gridCol w:w="635"/>
        <w:gridCol w:w="635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Strategia i zarządzanie ryzykiem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85182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Krytyczny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sieci i systemów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Ochrona danych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Edukacja i jakość systemów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Plany awaryjne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635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85182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Krytyczny</w:t>
            </w:r>
          </w:p>
        </w:tc>
      </w:tr>
    </w:tbl>
    <w:p>
      <w:pPr>
        <w:pStyle w:val="Caption"/>
      </w:pPr>
      <w:r>
        <w:t xml:space="preserve">Tabela 12. 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6A Strategia i zarządzanie ryzykiem</w:t>
      </w:r>
    </w:p>
    <w:p>
      <w:pPr>
        <w:pStyle w:val="Sygnatura"/>
      </w:pPr>
      <w:r>
        <w:t xml:space="preserve">Poziom obecny: 2 (Analiza ryzyka) · Poziom docelowy: 5 (HR w strategii) · Luka: 3 · Priorytet: Krytyczny · Dowody: udokumentowane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6B Ochrona sieci i 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Obszar pominięty w ocenie — kod: wiele kodów.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6C Ochrona danych</w:t>
      </w:r>
    </w:p>
    <w:p>
      <w:pPr>
        <w:pStyle w:val="Sygnatura"/>
      </w:pPr>
      <w:r>
        <w:t xml:space="preserve">Poziom obecny: 3 (Plan działań) · Poziom docelowy: 5 (HR w strategii) · Luka: 2 · Priorytet: Wysoki · Dowody: udokumentowane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6D Edukacja i jakość systemów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6E Plany awaryjne</w:t>
      </w:r>
    </w:p>
    <w:p>
      <w:pPr>
        <w:pStyle w:val="Sygnatura"/>
      </w:pPr>
      <w:r>
        <w:t xml:space="preserve">Poziom obecny: 1 (Brak strategii) · Poziom docelowy: 4 (Polityki bezpieczeństwa) · Luka: 3 · Priorytet: Krytyczny · Dowody: udokumentowane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Rozdział 7 z 7 · oś 7 struktury DRD</w:t>
      </w:r>
    </w:p>
    <w:p>
      <w:pPr>
        <w:pStyle w:val="Heading1"/>
        <w:pStyle w:val="Heading1"/>
        <w:keepNext/>
      </w:pPr>
      <w:r>
        <w:t xml:space="preserve">7. Dojrzałość AI</w:t>
      </w:r>
    </w:p>
    <w:p>
      <w:pPr>
        <w:pStyle w:val="Podpis"/>
      </w:pPr>
      <w:r>
        <w:t xml:space="preserve">Sekcja do uzupełnienia — limit 120–180 słów.</w:t>
      </w:r>
    </w:p>
    <w:p>
      <w:pPr>
        <w:pStyle w:val="Heading2"/>
        <w:pStyle w:val="Heading2"/>
      </w:pPr>
      <w:r>
        <w:t xml:space="preserve">Matryca poziomów dojrzałości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62"/>
        <w:gridCol w:w="762"/>
        <w:gridCol w:w="762"/>
        <w:gridCol w:w="762"/>
        <w:gridCol w:w="762"/>
        <w:gridCol w:w="1100"/>
        <w:gridCol w:w="1300"/>
      </w:tblGrid>
      <w:tr>
        <w:trPr>
          <w:tblHeader/>
        </w:trP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2E9EF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Dane i Fundamenty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D3DDE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Wspierane przez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AI w Produktach i Usługach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Governance, Bezpieczeństwo i Etyka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Kompetencje i Kultura AI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0C447C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E8F5F1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shd w:fill="BFE4D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762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D6DFE8" w:sz="2"/>
              <w:left w:val="nil" w:color="FFFFFF" w:sz="0"/>
              <w:bottom w:val="single" w:color="D6DFE8" w:sz="2"/>
              <w:right w:val="nil" w:color="FFFFFF" w:sz="0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</w:tr>
    </w:tbl>
    <w:p>
      <w:pPr>
        <w:pStyle w:val="Caption"/>
      </w:pPr>
      <w:r>
        <w:t xml:space="preserve">Tabela 14. Sekcja do uzupełnienia — limit 30–60 słów.</w:t>
      </w:r>
    </w:p>
    <w:p>
      <w:pPr>
        <w:pStyle w:val="Heading2"/>
        <w:pStyle w:val="Heading2"/>
      </w:pPr>
      <w:r>
        <w:t xml:space="preserve">Ocena obszarów</w:t>
      </w:r>
    </w:p>
    <w:p>
      <w:pPr>
        <w:pStyle w:val="Heading3"/>
        <w:pStyle w:val="Heading3"/>
      </w:pPr>
      <w:r>
        <w:t xml:space="preserve">7A Dane i Fundamenty AI</w:t>
      </w:r>
    </w:p>
    <w:p>
      <w:pPr>
        <w:pStyle w:val="Sygnatura"/>
      </w:pPr>
      <w:r>
        <w:t xml:space="preserve">Poziom obecny: 2 (Structured Data in Silos) · Poziom docelowy: 4 (Fully AI-Ready Data Architecture) · Luka: 2 · Priorytet: Wysoki · Dowody: udokumentowane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7B Procesy Wspierane przez AI</w:t>
      </w:r>
    </w:p>
    <w:p>
      <w:pPr>
        <w:pStyle w:val="Sygnatura"/>
      </w:pPr>
      <w:r>
        <w:t xml:space="preserve">Poziom obecny: 1 (Fragmented Data, No AI Readiness) · Poziom docelowy: 3 (Centralized Data &amp; Initial AI Readiness) · Luka: 2 · Priorytet: Wysoki · Dowody: zadeklarowane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7C AI w Produktach i Usługach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Pominięte pytania: 7C-L1 — odroczone_do_kolejnej_rewizji.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7D Governance, Bezpieczeństwo i Etyka</w:t>
      </w:r>
    </w:p>
    <w:p>
      <w:pPr>
        <w:pStyle w:val="Sygnatura"/>
      </w:pPr>
      <w:r>
        <w:t xml:space="preserve">Poziom obecny: — (—) · Poziom docelowy: — (—) · Luka: — · Priorytet: — · Dowody: nieocenione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3"/>
        <w:pStyle w:val="Heading3"/>
      </w:pPr>
      <w:r>
        <w:t xml:space="preserve">7E Kompetencje i Kultura AI</w:t>
      </w:r>
    </w:p>
    <w:p>
      <w:pPr>
        <w:pStyle w:val="Sygnatura"/>
      </w:pPr>
      <w:r>
        <w:t xml:space="preserve">Poziom obecny: 1 (Fragmented Data, No AI Readiness) · Poziom docelowy: 3 (Centralized Data &amp; Initial AI Readiness) · Luka: 2 · Priorytet: Wysoki · Dowody: zadeklarowane</w:t>
      </w:r>
    </w:p>
    <w:p>
      <w:pPr>
        <w:pStyle w:val="Podpis"/>
      </w:pPr>
      <w:r>
        <w:t xml:space="preserve">Sekcja do uzupełnienia — limit 110–170 słów; wymagane: stan faktyczny, ocena i wiarygodność, znaczenie dla przedsiębiorstwa, luka i sens poziomu docelowego, najbliższy krok.</w:t>
      </w:r>
    </w:p>
    <w:p>
      <w:pPr>
        <w:pStyle w:val="Heading2"/>
        <w:pStyle w:val="Heading2"/>
      </w:pPr>
      <w:r>
        <w:t xml:space="preserve">Wnioski rozdziału</w:t>
      </w:r>
    </w:p>
    <w:p>
      <w:pPr>
        <w:pStyle w:val="Podpis"/>
      </w:pPr>
      <w:r>
        <w:t xml:space="preserve">Sekcja do uzupełnienia — limit 180–260 słów.</w:t>
      </w:r>
    </w:p>
    <w:p>
      <w:pPr>
        <w:pStyle w:val="Kicker"/>
      </w:pPr>
      <w:r>
        <w:t xml:space="preserve">LINIA DECYZYJNA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SYNTEZA</w:t>
      </w:r>
    </w:p>
    <w:p>
      <w:pPr>
        <w:pStyle w:val="Heading1"/>
        <w:pStyle w:val="Heading1"/>
        <w:keepNext/>
      </w:pPr>
      <w:r>
        <w:t xml:space="preserve">8. Wnioski końcowe</w:t>
      </w:r>
    </w:p>
    <w:p>
      <w:pPr>
        <w:pStyle w:val="Podpis"/>
      </w:pPr>
      <w:r>
        <w:t xml:space="preserve">Sekcja do uzupełnienia — limit 250–300 słów.</w:t>
      </w:r>
    </w:p>
    <w:p>
      <w:pPr>
        <w:pStyle w:val="Heading2"/>
        <w:pStyle w:val="Heading2"/>
      </w:pPr>
      <w:r>
        <w:t xml:space="preserve">Linia decyzyjna programu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Pole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Treść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Kierunek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Priorytet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Horyzont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Warunek sukcesu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Sekcja do uzupełnienia — limit 10–30 słów.</w:t>
            </w:r>
          </w:p>
        </w:tc>
      </w:tr>
    </w:tbl>
    <w:p>
      <w:pPr>
        <w:pStyle w:val="Kicker"/>
        <w:keepNext/>
        <w:pageBreakBefore/>
      </w:pPr>
      <w:r>
        <w:t xml:space="preserve">ZAŁĄCZNIK</w:t>
      </w:r>
    </w:p>
    <w:p>
      <w:pPr>
        <w:pStyle w:val="Heading1"/>
        <w:pStyle w:val="Heading1"/>
        <w:keepNext/>
      </w:pPr>
      <w:r>
        <w:t xml:space="preserve">Załącznik A. Rejestr luk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Obszar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Oś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Priorytet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Luka</w:t>
            </w:r>
          </w:p>
        </w:tc>
        <w:tc>
          <w:tcPr>
            <w:shd w:fill="E2E9EF"/>
          </w:tcPr>
          <w:p>
            <w:pPr>
              <w:pStyle w:val="BodyText"/>
            </w:pPr>
            <w:r>
              <w:rPr>
                <w:b/>
                <w:bCs/>
                <w:color w:val="083152"/>
                <w:sz w:val="20"/>
                <w:szCs w:val="20"/>
              </w:rPr>
              <w:t xml:space="preserve">Poziom docelowy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4B Metodologia Przechowywania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Krytyczny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Mobile Data Collection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6E Plany awaryjne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Krytyczny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Polityki bezpieczeństwa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6A Strategia i zarządzanie ryzykiem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Krytyczny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HR w strategii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1E Procesy Logistyczne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Automatyzacja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1F Procesy Produkcyjne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 — ERP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1A Procesy Sprzedaży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MES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2D Dopasowanie Produktu do Oczekiwań Klienta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Interaktywny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2A 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Zaawansowany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3A Modele E-commerce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Advanced Personalization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3E Modele Monetyzacji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Advanced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4D Analiza Big Data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Data from Machines and Devices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4C Komunikacja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Mobile Data Collection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4A Zbieranie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Zarządzanie Danymi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 — Data from Physical Objects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5C Ciągły rozwój kompetencji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Wspierający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5B Gotowość na zmianę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Innowator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6C Ochrona danych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Cyberbezpieczeństwo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HR w strategii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7A Dane i Fundamenty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4 — Fully AI-Ready Data Architecture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7E Kompetencje i Kultura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Centralized Data &amp; Initial AI Readiness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7B Procesy Wspierane przez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Dojrzałość AI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Wysoki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Centralized Data &amp; Initial AI Readiness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1G Procesy Jakości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Procesy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Kontrola procesu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2E Skalowalność Produktu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Produkty Cyfrowe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 — Zaawansowany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3C Model As-a-Service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Cyfrowe Modele Biznesowe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2 — Intermediate</w:t>
            </w:r>
          </w:p>
        </w:tc>
      </w:tr>
      <w:tr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5A Postawy przywódcze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Kultura Transformacji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Średni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p>
            <w:pPr>
              <w:pStyle w:val="BodyText"/>
            </w:pPr>
            <w:r>
              <w:rPr>
                <w:sz w:val="20"/>
                <w:szCs w:val="20"/>
              </w:rPr>
              <w:t xml:space="preserve">5 — Innowator</w:t>
            </w:r>
          </w:p>
        </w:tc>
      </w:tr>
    </w:tbl>
    <w:p>
      <w:pPr>
        <w:pStyle w:val="Caption"/>
      </w:pPr>
      <w:r>
        <w:t xml:space="preserve">Tabela 17. Rejestr luk posortowany malejąco według wielkości luki.</w:t>
      </w:r>
    </w:p>
    <w:p>
      <w:pPr>
        <w:pStyle w:val="Heading1"/>
        <w:pStyle w:val="Heading1"/>
      </w:pPr>
      <w:r>
        <w:t xml:space="preserve">Źródła i identyfikowalność</w:t>
      </w:r>
    </w:p>
    <w:p>
      <w:pPr>
        <w:pStyle w:val="AssumptionBody"/>
      </w:pPr>
      <w:r>
        <w:t xml:space="preserve">Nie dołączono źródeł. Merytoryczne bloki treści oznaczono jako założenia i przed dystrybucją do klienta wymagają pakietu źródłowego.</w:t>
      </w:r>
    </w:p>
    <w:sectPr>
      <w:footerReference w:type="default" r:id="rId6"/>
      <w:footerReference w:type="first" r:id="rId7"/>
      <w:pgSz w:w="11906" w:h="16838" w:orient="portrait"/>
      <w:pgMar w:top="1247" w:right="1247" w:bottom="1134" w:left="1247" w:header="708" w:footer="624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FE8" w:sz="2" w:space="6"/>
      </w:pBdr>
      <w:tabs>
        <w:tab w:val="center" w:pos="4706"/>
        <w:tab w:val="right" w:pos="9412"/>
      </w:tabs>
      <w:jc w:val="left"/>
    </w:pPr>
    <w:r>
      <w:rPr>
        <w:color w:val="6B7280"/>
        <w:sz w:val="16"/>
        <w:szCs w:val="16"/>
      </w:rPr>
      <w:t xml:space="preserve">Poufne — Metalpol Sp. z o.o.</w:t>
    </w:r>
    <w:r>
      <w:rPr>
        <w:sz w:val="16"/>
        <w:szCs w:val="16"/>
      </w:rPr>
      <w:t xml:space="preserve">	</w:t>
    </w:r>
    <w:r>
      <w:rPr>
        <w:color w:val="6B7280"/>
        <w:sz w:val="16"/>
        <w:szCs w:val="16"/>
      </w:rPr>
      <w:t xml:space="preserve">Strona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z </w:t>
    </w:r>
    <w:r>
      <w:rPr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sz w:val="16"/>
        <w:szCs w:val="16"/>
      </w:rPr>
      <w:t xml:space="preserve">	</w:t>
    </w:r>
    <w:r>
      <w:rPr>
        <w:color w:val="85182F"/>
        <w:sz w:val="16"/>
        <w:szCs w:val="16"/>
      </w:rPr>
      <w:t xml:space="preserve">● </w:t>
    </w:r>
    <w:r>
      <w:rPr>
        <w:color w:val="6B7280"/>
        <w:sz w:val="16"/>
        <w:szCs w:val="16"/>
      </w:rPr>
      <w:t xml:space="preserve">Consultify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  <w:lang w:val="pl-PL" w:eastAsia="pl-PL" w:bidi="pl-P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DocStudioTitle">
    <w:name w:val="Doc Studio Title"/>
    <w:basedOn w:val="Normal"/>
    <w:next w:val="Subtitle"/>
    <w:qFormat/>
    <w:pPr>
      <w:spacing w:before="600" w:after="200"/>
      <w:jc w:val="center"/>
    </w:pPr>
    <w:rPr>
      <w:rFonts w:ascii="Calibri Light" w:cs="Calibri Light" w:eastAsia="Calibri Light" w:hAnsi="Calibri Light"/>
      <w:b/>
      <w:bCs/>
      <w:color w:val="0A2F57"/>
      <w:sz w:val="56"/>
      <w:szCs w:val="56"/>
    </w:rPr>
  </w:style>
  <w:style w:type="paragraph" w:styleId="Subtitle">
    <w:name w:val="Subtitle"/>
    <w:basedOn w:val="Normal"/>
    <w:next w:val="BodyText"/>
    <w:qFormat/>
    <w:pPr>
      <w:spacing w:after="80"/>
      <w:jc w:val="center"/>
    </w:pPr>
    <w:rPr>
      <w:rFonts w:ascii="Calibri" w:cs="Calibri" w:eastAsia="Calibri" w:hAnsi="Calibri"/>
      <w:i/>
      <w:iCs/>
      <w:color w:val="475569"/>
      <w:sz w:val="26"/>
      <w:szCs w:val="26"/>
    </w:rPr>
  </w:style>
  <w:style w:type="paragraph" w:styleId="Heading1">
    <w:name w:val="Heading 1"/>
    <w:basedOn w:val="Normal"/>
    <w:next w:val="BodyText"/>
    <w:qFormat/>
    <w:pPr>
      <w:pBdr>
        <w:bottom w:val="single" w:color="1D9E75" w:sz="8" w:space="6"/>
      </w:pBd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Heading2">
    <w:name w:val="Heading 2"/>
    <w:basedOn w:val="Normal"/>
    <w:next w:val="BodyText"/>
    <w:qFormat/>
    <w:pPr>
      <w:spacing w:before="220" w:after="110"/>
    </w:pPr>
    <w:rPr>
      <w:rFonts w:ascii="Calibri Light" w:cs="Calibri Light" w:eastAsia="Calibri Light" w:hAnsi="Calibri Light"/>
      <w:b/>
      <w:bCs/>
      <w:color w:val="1B5FA8"/>
      <w:sz w:val="28"/>
      <w:szCs w:val="28"/>
    </w:rPr>
  </w:style>
  <w:style w:type="paragraph" w:styleId="Heading3">
    <w:name w:val="Heading 3"/>
    <w:basedOn w:val="Normal"/>
    <w:next w:val="BodyText"/>
    <w:qFormat/>
    <w:pPr>
      <w:spacing w:before="180" w:after="90"/>
    </w:pPr>
    <w:rPr>
      <w:rFonts w:ascii="Calibri Light" w:cs="Calibri Light" w:eastAsia="Calibri Light" w:hAnsi="Calibri Light"/>
      <w:b/>
      <w:bCs/>
      <w:color w:val="334155"/>
      <w:sz w:val="23"/>
      <w:szCs w:val="23"/>
    </w:rPr>
  </w:style>
  <w:style w:type="paragraph" w:styleId="BodyText">
    <w:name w:val="Body Text"/>
    <w:basedOn w:val="Normal"/>
    <w:next w:val="BodyText"/>
    <w:qFormat/>
    <w:pPr>
      <w:spacing w:after="120"/>
    </w:pPr>
    <w:rPr>
      <w:rFonts w:ascii="Calibri" w:cs="Calibri" w:eastAsia="Calibri" w:hAnsi="Calibri"/>
      <w:color w:val="1F2933"/>
      <w:sz w:val="22"/>
      <w:szCs w:val="22"/>
    </w:rPr>
  </w:style>
  <w:style w:type="paragraph" w:styleId="BlockQuote">
    <w:name w:val="Block Quote"/>
    <w:basedOn w:val="BodyText"/>
    <w:next w:val="BodyText"/>
    <w:pPr>
      <w:pBdr>
        <w:left w:val="single" w:color="0C447C" w:sz="18" w:space="12"/>
      </w:pBdr>
      <w:spacing w:before="80" w:after="120"/>
      <w:ind w:left="360"/>
    </w:pPr>
    <w:rPr>
      <w:rFonts w:ascii="Calibri" w:cs="Calibri" w:eastAsia="Calibri" w:hAnsi="Calibri"/>
      <w:i/>
      <w:iCs/>
      <w:color w:val="475569"/>
      <w:sz w:val="22"/>
      <w:szCs w:val="22"/>
    </w:rPr>
  </w:style>
  <w:style w:type="paragraph" w:styleId="Caption">
    <w:name w:val="Caption"/>
    <w:basedOn w:val="Normal"/>
    <w:next w:val="BodyText"/>
    <w:pPr>
      <w:spacing w:before="60" w:after="120"/>
    </w:pPr>
    <w:rPr>
      <w:rFonts w:ascii="Calibri" w:cs="Calibri" w:eastAsia="Calibri" w:hAnsi="Calibri"/>
      <w:i/>
      <w:iCs/>
      <w:color w:val="64748B"/>
      <w:sz w:val="18"/>
      <w:szCs w:val="18"/>
    </w:rPr>
  </w:style>
  <w:style w:type="paragraph" w:styleId="DocStudioFootnote">
    <w:name w:val="Doc Studio Footnote"/>
    <w:basedOn w:val="Normal"/>
    <w:next w:val="BodyText"/>
    <w:pPr>
      <w:spacing w:after="40"/>
    </w:pPr>
    <w:rPr>
      <w:rFonts w:ascii="Calibri" w:cs="Calibri" w:eastAsia="Calibri" w:hAnsi="Calibri"/>
      <w:color w:val="475569"/>
      <w:sz w:val="18"/>
      <w:szCs w:val="18"/>
    </w:rPr>
  </w:style>
  <w:style w:type="paragraph" w:styleId="AssumptionBody">
    <w:name w:val="Assumption Body"/>
    <w:basedOn w:val="BodyText"/>
    <w:next w:val="BodyText"/>
    <w:pPr>
      <w:spacing w:after="120"/>
    </w:pPr>
    <w:rPr>
      <w:rFonts w:ascii="Calibri" w:cs="Calibri" w:eastAsia="Calibri" w:hAnsi="Calibri"/>
      <w:i/>
      <w:iCs/>
      <w:color w:val="92400E"/>
      <w:sz w:val="22"/>
      <w:szCs w:val="22"/>
    </w:rPr>
  </w:style>
  <w:style w:type="paragraph" w:styleId="Callout">
    <w:name w:val="Callout"/>
    <w:basedOn w:val="BodyText"/>
    <w:next w:val="BodyText"/>
    <w:pPr>
      <w:pBdr>
        <w:left w:val="single" w:color="1D9E75" w:sz="24" w:space="12"/>
      </w:pBdr>
      <w:shd w:fill="F5F8FC" w:val="clear"/>
      <w:spacing w:before="80" w:after="120"/>
      <w:ind w:left="240"/>
    </w:pPr>
    <w:rPr>
      <w:rFonts w:ascii="Calibri" w:cs="Calibri" w:eastAsia="Calibri" w:hAnsi="Calibri"/>
      <w:color w:val="1F2933"/>
      <w:sz w:val="22"/>
      <w:szCs w:val="22"/>
    </w:rPr>
  </w:style>
  <w:style w:type="paragraph" w:styleId="SourceList">
    <w:name w:val="Source List"/>
    <w:basedOn w:val="BodyText"/>
    <w:next w:val="SourceList"/>
    <w:pPr>
      <w:spacing w:after="60"/>
    </w:pPr>
    <w:rPr>
      <w:rFonts w:ascii="Calibri" w:cs="Calibri" w:eastAsia="Calibri" w:hAnsi="Calibri"/>
      <w:color w:val="1F2933"/>
      <w:sz w:val="22"/>
      <w:szCs w:val="22"/>
    </w:rPr>
  </w:style>
  <w:style w:type="paragraph" w:styleId="TOCHeading">
    <w:name w:val="TOC Heading"/>
    <w:basedOn w:val="Heading1"/>
    <w:next w:val="BodyText"/>
    <w:qFormat/>
    <w:pPr>
      <w:spacing w:before="280" w:after="140"/>
    </w:pPr>
    <w:rPr>
      <w:rFonts w:ascii="Calibri Light" w:cs="Calibri Light" w:eastAsia="Calibri Light" w:hAnsi="Calibri Light"/>
      <w:b/>
      <w:bCs/>
      <w:color w:val="0C447C"/>
      <w:sz w:val="34"/>
      <w:szCs w:val="34"/>
    </w:rPr>
  </w:style>
  <w:style w:type="paragraph" w:styleId="Tresc">
    <w:name w:val="Treść"/>
    <w:basedOn w:val="Normal"/>
    <w:next w:val="Tresc"/>
    <w:qFormat/>
    <w:pPr>
      <w:spacing w:line="312" w:after="120"/>
    </w:pPr>
    <w:rPr>
      <w:rFonts w:ascii="Calibri" w:cs="Calibri" w:eastAsia="Calibri" w:hAnsi="Calibri"/>
      <w:color w:val="1F2937"/>
      <w:sz w:val="22"/>
      <w:szCs w:val="22"/>
    </w:rPr>
  </w:style>
  <w:style w:type="paragraph" w:styleId="Lead">
    <w:name w:val="Lead"/>
    <w:basedOn w:val="Tresc"/>
    <w:next w:val="Tresc"/>
    <w:pPr>
      <w:spacing w:line="336" w:after="160"/>
    </w:pPr>
    <w:rPr>
      <w:rFonts w:ascii="Calibri" w:cs="Calibri" w:eastAsia="Calibri" w:hAnsi="Calibri"/>
      <w:color w:val="1F2937"/>
      <w:sz w:val="24"/>
      <w:szCs w:val="24"/>
    </w:rPr>
  </w:style>
  <w:style w:type="paragraph" w:styleId="Kicker">
    <w:name w:val="Kicker"/>
    <w:basedOn w:val="Normal"/>
    <w:next w:val="Heading1"/>
    <w:pPr>
      <w:spacing w:after="80"/>
    </w:pPr>
    <w:rPr>
      <w:rFonts w:ascii="Calibri" w:cs="Calibri" w:eastAsia="Calibri" w:hAnsi="Calibri"/>
      <w:b/>
      <w:bCs/>
      <w:color w:val="1D9E75"/>
      <w:sz w:val="18"/>
      <w:szCs w:val="18"/>
    </w:rPr>
  </w:style>
  <w:style w:type="paragraph" w:styleId="Podpis">
    <w:name w:val="Podpis"/>
    <w:basedOn w:val="Tresc"/>
    <w:next w:val="Tresc"/>
    <w:pPr>
      <w:spacing w:before="60" w:after="120"/>
    </w:pPr>
    <w:rPr>
      <w:rFonts w:ascii="Calibri" w:cs="Calibri" w:eastAsia="Calibri" w:hAnsi="Calibri"/>
      <w:i/>
      <w:iCs/>
      <w:color w:val="6B7280"/>
      <w:sz w:val="18"/>
      <w:szCs w:val="18"/>
    </w:rPr>
  </w:style>
  <w:style w:type="paragraph" w:styleId="Sygnatura">
    <w:name w:val="Sygnatura"/>
    <w:basedOn w:val="Tresc"/>
    <w:next w:val="Tresc"/>
    <w:pPr>
      <w:pBdr>
        <w:left w:val="single" w:color="1D9E75" w:sz="18" w:space="10"/>
      </w:pBdr>
      <w:shd w:fill="E2E9EF" w:val="clear"/>
      <w:spacing w:before="80" w:after="100"/>
      <w:ind w:left="180"/>
    </w:pPr>
    <w:rPr>
      <w:rFonts w:ascii="Calibri" w:cs="Calibri" w:eastAsia="Calibri" w:hAnsi="Calibri"/>
      <w:color w:val="1F2937"/>
      <w:sz w:val="19"/>
      <w:szCs w:val="19"/>
    </w:rPr>
  </w:style>
  <w:style w:type="paragraph" w:styleId="TOC1">
    <w:name w:val="TOC 1"/>
    <w:basedOn w:val="Tresc"/>
    <w:next w:val="TOC1"/>
    <w:pPr>
      <w:spacing w:after="70"/>
    </w:pPr>
    <w:rPr>
      <w:rFonts w:ascii="Calibri" w:cs="Calibri" w:eastAsia="Calibri" w:hAnsi="Calibri"/>
      <w:color w:val="083152"/>
      <w:sz w:val="20"/>
      <w:szCs w:val="20"/>
    </w:rPr>
  </w:style>
  <w:style w:type="paragraph" w:styleId="TOC2">
    <w:name w:val="TOC 2"/>
    <w:basedOn w:val="Tresc"/>
    <w:next w:val="TOC2"/>
    <w:pPr>
      <w:spacing w:after="50"/>
      <w:ind w:left="360"/>
    </w:pPr>
    <w:rPr>
      <w:rFonts w:ascii="Calibri" w:cs="Calibri" w:eastAsia="Calibri" w:hAnsi="Calibri"/>
      <w:color w:val="6B7280"/>
      <w:sz w:val="18"/>
      <w:szCs w:val="18"/>
    </w:rPr>
  </w:style>
  <w:style w:type="paragraph" w:styleId="NaglowekBezNumeru">
    <w:name w:val="Nagłówek bez numeru"/>
    <w:basedOn w:val="Heading1"/>
    <w:next w:val="Tresc"/>
    <w:qFormat/>
    <w:pPr>
      <w:spacing w:before="240" w:after="120"/>
    </w:pPr>
    <w:rPr>
      <w:rFonts w:ascii="Calibri Light" w:cs="Calibri Light" w:eastAsia="Calibri Light" w:hAnsi="Calibri Light"/>
      <w:color w:val="0C447C"/>
      <w:sz w:val="40"/>
      <w:szCs w:val="40"/>
    </w:rPr>
  </w:style>
  <w:style w:type="paragraph" w:styleId="NaglowekBezNumeru2">
    <w:name w:val="Nagłówek sekcji bez spisu"/>
    <w:basedOn w:val="Heading2"/>
    <w:next w:val="Tresc"/>
    <w:pPr>
      <w:spacing w:before="200" w:after="100"/>
    </w:pPr>
    <w:rPr>
      <w:rFonts w:ascii="Calibri Light" w:cs="Calibri Light" w:eastAsia="Calibri Light" w:hAnsi="Calibri Light"/>
      <w:b/>
      <w:bCs/>
      <w:color w:val="083152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5052427668329bde22d4928619ede43ad68dd497.png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Raport z oceny dojrzałości cyfrowej</dc:title>
  <dc:creator>Consultify Document Studio</dc:creator>
  <dc:description>Consultify Document Studio · client_final_report · executive</dc:description>
  <cp:lastModifiedBy>Un-named</cp:lastModifiedBy>
  <cp:revision>1</cp:revision>
  <dcterms:created xsi:type="dcterms:W3CDTF">2026-08-27T04:35:40.091Z</dcterms:created>
  <dcterms:modified xsi:type="dcterms:W3CDTF">2026-08-27T04:35:40.091Z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