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widowControl/>
        <w:spacing w:before="0" w:after="40" w:line="264"/>
      </w:pPr>
      <w:r>
        <w:rPr>
          <w:rFonts w:ascii="Helvetica Neue" w:cs="Helvetica Neue" w:eastAsia="Helvetica Neue" w:hAnsi="Helvetica Neue"/>
          <w:b/>
          <w:bCs/>
          <w:caps/>
          <w:color w:val="64748B"/>
          <w:spacing w:val="40"/>
          <w:sz w:val="15"/>
          <w:szCs w:val="15"/>
        </w:rPr>
        <w:t xml:space="preserve">Prototyp B1 · szkielet, nie raport</w:t>
      </w:r>
    </w:p>
    <w:p>
      <w:pPr>
        <w:keepNext/>
        <w:pBdr>
          <w:bottom w:val="single" w:color="0F172A" w:sz="8" w:space="8"/>
        </w:pBdr>
        <w:spacing w:before="0" w:after="130" w:line="250"/>
      </w:pPr>
      <w:r>
        <w:rPr>
          <w:rFonts w:ascii="Helvetica Neue" w:cs="Helvetica Neue" w:eastAsia="Helvetica Neue" w:hAnsi="Helvetica Neue"/>
          <w:b/>
          <w:bCs/>
          <w:caps w:val="false"/>
          <w:color w:val="0F172A"/>
          <w:sz w:val="32"/>
          <w:szCs w:val="32"/>
        </w:rPr>
        <w:t xml:space="preserve">Raport końcowy Oceny — szkielet dla metodyki SIRI</w:t>
      </w:r>
    </w:p>
    <w:p>
      <w:pPr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caps w:val="false"/>
          <w:color w:val="0F172A"/>
          <w:sz w:val="20"/>
          <w:szCs w:val="20"/>
        </w:rPr>
        <w:t xml:space="preserve">Dokument pokazuje, jak formuła przyjęta dla DRD (wstęp → rozdziały jednostek metodyki → odpowiedzi i wnioski zbiorcze → podsumowanie) układa się dla SIRI. Nie zawiera danych klienta ani narracji — służy wyłącznie do rozstrzygnięcia struktury przed budową silnika.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16"/>
        <w:gridCol w:w="9521"/>
      </w:tblGrid>
      <w:tr>
        <w:tc>
          <w:tcPr>
            <w:shd w:fill="334155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widowControl/>
              <w:spacing w:before="0" w:after="0" w:line="264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top"/>
          </w:tcPr>
          <w:p>
            <w:pPr>
              <w:widowControl/>
              <w:spacing w:before="0" w:after="70" w:line="264"/>
            </w:pPr>
            <w:r>
              <w:rPr>
                <w:rFonts w:ascii="Helvetica Neue" w:cs="Helvetica Neue" w:eastAsia="Helvetica Neue" w:hAnsi="Helvetica Neue"/>
                <w:b/>
                <w:bCs/>
                <w:caps w:val="false"/>
                <w:color w:val="0F172A"/>
                <w:sz w:val="20"/>
                <w:szCs w:val="20"/>
              </w:rPr>
              <w:t xml:space="preserve">Jedno rozstrzygnięcie do podjęcia przed budową.</w:t>
            </w:r>
          </w:p>
          <w:p>
            <w:pPr>
              <w:widowControl/>
              <w:spacing w:before="0" w:after="0" w:line="264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475569"/>
                <w:sz w:val="19"/>
                <w:szCs w:val="19"/>
              </w:rPr>
              <w:t xml:space="preserve">SIRI mierzy na 16 wymiarach, a komunikuje na 8 filarach zgrupowanych w 3 bloki. DRD ma jeden poziom jednostek (7 osi). Dlatego dla SIRI rozdziałów może być 8 (po filarze, czytelne dla zarządu) albo 16 (po wymiarze, wierne pomiarowi). Rekomendacja: 8 rozdziałów po filarach, z tabelą wymiarów wewnątrz rozdziału.</w:t>
            </w:r>
          </w:p>
        </w:tc>
      </w:tr>
    </w:tbl>
    <w:p>
      <w:pPr>
        <w:spacing w:after="150"/>
      </w:pPr>
      <w:r>
        <w:rPr>
          <w:rFonts w:ascii="Helvetica Neue" w:cs="Helvetica Neue" w:eastAsia="Helvetica Neue" w:hAnsi="Helvetica Neue"/>
          <w:b w:val="false"/>
          <w:b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widowControl/>
        <w:spacing w:before="200" w:after="70" w:line="264"/>
      </w:pPr>
      <w:r>
        <w:rPr>
          <w:rFonts w:ascii="Helvetica Neue" w:cs="Helvetica Neue" w:eastAsia="Helvetica Neue" w:hAnsi="Helvetica Neue"/>
          <w:b/>
          <w:bCs/>
          <w:caps w:val="false"/>
          <w:color w:val="334155"/>
          <w:sz w:val="21"/>
          <w:szCs w:val="21"/>
        </w:rPr>
        <w:t xml:space="preserve">Struktura metodyki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1542"/>
        <w:gridCol w:w="2506"/>
        <w:gridCol w:w="5589"/>
      </w:tblGrid>
      <w:tr>
        <w:trPr>
          <w:tblHeader/>
        </w:trPr>
        <w:tc>
          <w:tcPr>
            <w:shd w:fill="EEF2F6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caps w:val="false"/>
                <w:color w:val="334155"/>
                <w:sz w:val="16"/>
                <w:szCs w:val="16"/>
              </w:rPr>
              <w:t xml:space="preserve">Blok</w:t>
            </w:r>
          </w:p>
        </w:tc>
        <w:tc>
          <w:tcPr>
            <w:shd w:fill="EEF2F6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caps w:val="false"/>
                <w:color w:val="334155"/>
                <w:sz w:val="16"/>
                <w:szCs w:val="16"/>
              </w:rPr>
              <w:t xml:space="preserve">Filar (rozdział raportu)</w:t>
            </w:r>
          </w:p>
        </w:tc>
        <w:tc>
          <w:tcPr>
            <w:shd w:fill="EEF2F6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caps w:val="false"/>
                <w:color w:val="334155"/>
                <w:sz w:val="16"/>
                <w:szCs w:val="16"/>
              </w:rPr>
              <w:t xml:space="preserve">Wymiary mierzone w rozdziale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Procesy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Operations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Integracja Pionowa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Procesy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Supply Chain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Integracja Pozioma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Procesy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Product Lifecycle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Zintegrowany Cykl Życia Produktu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Technologia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Automation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Automatyzacja Produkcji · Przedsiębiorstwa · Obiektów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Technologia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Connectivity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Łączność Produkcji · Przedsiębiorstwa · Obiektów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Technologia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Intelligence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Inteligencja Produkcji · Przedsiębiorstwa · Obiektów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Organizacja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Talent Readiness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Rozwój i Szkolenia Pracowników · Kompetencje Liderów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Organizacja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Structure &amp; Management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Strategia i Governance · Współpraca Wewnętrzna i Zewnętrzna</w:t>
            </w:r>
          </w:p>
        </w:tc>
      </w:tr>
    </w:tbl>
    <w:p>
      <w:pPr>
        <w:spacing w:after="90"/>
      </w:pPr>
      <w:r>
        <w:rPr>
          <w:rFonts w:ascii="Helvetica Neue" w:cs="Helvetica Neue" w:eastAsia="Helvetica Neue" w:hAnsi="Helvetica Neue"/>
          <w:b w:val="false"/>
          <w:bCs w:val="false"/>
          <w:caps w:val="false"/>
          <w:color w:val="0F172A"/>
          <w:sz w:val="2"/>
          <w:szCs w:val="2"/>
        </w:rPr>
        <w:t xml:space="preserve"/>
      </w:r>
    </w:p>
    <w:p>
      <w:pPr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caps w:val="false"/>
          <w:color w:val="475569"/>
          <w:sz w:val="19"/>
          <w:szCs w:val="19"/>
        </w:rPr>
        <w:t xml:space="preserve">Skala: Band 0–5 — jednolita dla wszystkich wymiarów (0 Not Started · 1 Defined · 2 Digital · 3 Integrated · 4 Automated · 5 Intelligent). To pierwsza istotna różnica wobec DRD, gdzie skale osi są różne (7/5/5/7/6/6/5) i wymagają przeliczania na procent skali.</w:t>
      </w:r>
    </w:p>
    <w:p>
      <w:pPr>
        <w:keepNext/>
        <w:widowControl/>
        <w:spacing w:before="200" w:after="70" w:line="264"/>
      </w:pPr>
      <w:r>
        <w:rPr>
          <w:rFonts w:ascii="Helvetica Neue" w:cs="Helvetica Neue" w:eastAsia="Helvetica Neue" w:hAnsi="Helvetica Neue"/>
          <w:b/>
          <w:bCs/>
          <w:caps w:val="false"/>
          <w:color w:val="334155"/>
          <w:sz w:val="21"/>
          <w:szCs w:val="21"/>
        </w:rPr>
        <w:t xml:space="preserve">Różnice wobec raportu DRD — co silnik musi obsłużyć inaczej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2313"/>
        <w:gridCol w:w="3277"/>
        <w:gridCol w:w="4048"/>
      </w:tblGrid>
      <w:tr>
        <w:trPr>
          <w:tblHeader/>
        </w:trPr>
        <w:tc>
          <w:tcPr>
            <w:shd w:fill="EEF2F6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caps w:val="false"/>
                <w:color w:val="334155"/>
                <w:sz w:val="16"/>
                <w:szCs w:val="16"/>
              </w:rPr>
              <w:t xml:space="preserve">Element</w:t>
            </w:r>
          </w:p>
        </w:tc>
        <w:tc>
          <w:tcPr>
            <w:shd w:fill="EEF2F6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caps w:val="false"/>
                <w:color w:val="334155"/>
                <w:sz w:val="16"/>
                <w:szCs w:val="16"/>
              </w:rPr>
              <w:t xml:space="preserve">DRD</w:t>
            </w:r>
          </w:p>
        </w:tc>
        <w:tc>
          <w:tcPr>
            <w:shd w:fill="EEF2F6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caps w:val="false"/>
                <w:color w:val="334155"/>
                <w:sz w:val="16"/>
                <w:szCs w:val="16"/>
              </w:rPr>
              <w:t xml:space="preserve">SIRI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Jednostka rozdziału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7 osi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8 filarów (rekomendacja) lub 16 wymiarów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Skala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różna per oś: 7/5/5/7/6/6/5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jednolita 0–5 dla wszystkich wymiarów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Porównanie między jednostkami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przez procent skali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wprost, na poziomach — bez przeliczania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Wskaźnik poziomu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pasek o długości skali osi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pasek stały, 6 pól (0–5)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Priorytetyzacja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ekspercka, per oś, z sufitem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Impact Value z macierzy metodyki (rangi 1–16)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Poziom docelowy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uzgadniany, świadomie poniżej maksimum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wynika z Impact Value + decyzji zarządu</w:t>
            </w:r>
          </w:p>
        </w:tc>
      </w:tr>
    </w:tbl>
    <w:p>
      <w:pPr>
        <w:sectPr>
          <w:headerReference w:type="default" r:id="rId6"/>
          <w:footerReference w:type="default" r:id="rId7"/>
          <w:pgSz w:w="11906" w:h="16838" w:orient="portrait"/>
          <w:pgMar w:top="1247" w:right="1133" w:bottom="1133" w:left="1133" w:header="708" w:footer="708" w:gutter="0"/>
          <w:pgNumType/>
          <w:docGrid w:linePitch="360"/>
        </w:sectPr>
      </w:pPr>
    </w:p>
    <w:p>
      <w:pPr>
        <w:keepNext/>
        <w:widowControl/>
        <w:spacing w:before="0" w:after="40" w:line="264"/>
      </w:pPr>
      <w:r>
        <w:rPr>
          <w:rFonts w:ascii="Helvetica Neue" w:cs="Helvetica Neue" w:eastAsia="Helvetica Neue" w:hAnsi="Helvetica Neue"/>
          <w:b/>
          <w:bCs/>
          <w:caps/>
          <w:color w:val="64748B"/>
          <w:spacing w:val="40"/>
          <w:sz w:val="15"/>
          <w:szCs w:val="15"/>
        </w:rPr>
        <w:t xml:space="preserve">Szkielet</w:t>
      </w:r>
    </w:p>
    <w:p>
      <w:pPr>
        <w:keepNext/>
        <w:pBdr>
          <w:bottom w:val="single" w:color="0F172A" w:sz="8" w:space="8"/>
        </w:pBdr>
        <w:spacing w:before="0" w:after="130" w:line="250"/>
      </w:pPr>
      <w:r>
        <w:rPr>
          <w:rFonts w:ascii="Helvetica Neue" w:cs="Helvetica Neue" w:eastAsia="Helvetica Neue" w:hAnsi="Helvetica Neue"/>
          <w:b/>
          <w:bCs/>
          <w:caps w:val="false"/>
          <w:color w:val="0F172A"/>
          <w:sz w:val="32"/>
          <w:szCs w:val="32"/>
        </w:rPr>
        <w:t xml:space="preserve">Stały szablon rozdziału filaru</w:t>
      </w:r>
    </w:p>
    <w:p>
      <w:pPr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caps w:val="false"/>
          <w:color w:val="0F172A"/>
          <w:sz w:val="20"/>
          <w:szCs w:val="20"/>
        </w:rPr>
        <w:t xml:space="preserve">Kolejność bloków identyczna jak w rozdziale osi DRD — dzięki temu oba raporty czyta się tak samo, mimo różnych metodyk.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482"/>
        <w:gridCol w:w="2409"/>
        <w:gridCol w:w="3855"/>
        <w:gridCol w:w="2891"/>
      </w:tblGrid>
      <w:tr>
        <w:trPr>
          <w:tblHeader/>
        </w:trPr>
        <w:tc>
          <w:tcPr>
            <w:shd w:fill="EEF2F6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aps w:val="false"/>
                <w:color w:val="334155"/>
                <w:sz w:val="16"/>
                <w:szCs w:val="16"/>
              </w:rPr>
              <w:t xml:space="preserve">#</w:t>
            </w:r>
          </w:p>
        </w:tc>
        <w:tc>
          <w:tcPr>
            <w:shd w:fill="EEF2F6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caps w:val="false"/>
                <w:color w:val="334155"/>
                <w:sz w:val="16"/>
                <w:szCs w:val="16"/>
              </w:rPr>
              <w:t xml:space="preserve">Blok rozdziału</w:t>
            </w:r>
          </w:p>
        </w:tc>
        <w:tc>
          <w:tcPr>
            <w:shd w:fill="EEF2F6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caps w:val="false"/>
                <w:color w:val="334155"/>
                <w:sz w:val="16"/>
                <w:szCs w:val="16"/>
              </w:rPr>
              <w:t xml:space="preserve">Zawartość</w:t>
            </w:r>
          </w:p>
        </w:tc>
        <w:tc>
          <w:tcPr>
            <w:shd w:fill="EEF2F6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caps w:val="false"/>
                <w:color w:val="334155"/>
                <w:sz w:val="16"/>
                <w:szCs w:val="16"/>
              </w:rPr>
              <w:t xml:space="preserve">Źródło danych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Werdykt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jedno zdanie, maksimum 25 słów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narrator na stanie zatwierdzonym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2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Wskaźnik poziomu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pasek 0–5, AS-IS i TO-BE filaru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agregat z wymiarów filaru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Zakres oceny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co ten filar mierzy w tej firmie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opis filaru z paczki metodyki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4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Co zbadano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pytania dowodowe użyte w wywiadzie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QBank SIRI, poziom wymiaru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Odpowiedzi klienta w skrócie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3–5 ustaleń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odpowiedzi zatwierdzone w sesji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Dowody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dowód · źródło · stan (potwierdzony / deklarowany / brak)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załączniki i notatki sesji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Wymiary filaru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tabela: wymiar · AS-IS · TO-BE · luka · Impact Value · dowód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silnik 16D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8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Wnioski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2–4 akapity syntezy, nie powtórzenie tabeli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narrator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Rekomendacje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rekomendacja · priorytet · horyzont · właściciel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narrator + Impact Value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10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Linia decyzyjna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kierunek | priorytet | horyzont | warunek powodzenia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narrator</w:t>
            </w:r>
          </w:p>
        </w:tc>
      </w:tr>
    </w:tbl>
    <w:p>
      <w:pPr>
        <w:spacing w:after="140"/>
      </w:pPr>
      <w:r>
        <w:rPr>
          <w:rFonts w:ascii="Helvetica Neue" w:cs="Helvetica Neue" w:eastAsia="Helvetica Neue" w:hAnsi="Helvetica Neue"/>
          <w:b w:val="false"/>
          <w:b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widowControl/>
        <w:spacing w:before="200" w:after="70" w:line="264"/>
      </w:pPr>
      <w:r>
        <w:rPr>
          <w:rFonts w:ascii="Helvetica Neue" w:cs="Helvetica Neue" w:eastAsia="Helvetica Neue" w:hAnsi="Helvetica Neue"/>
          <w:b/>
          <w:bCs/>
          <w:caps w:val="false"/>
          <w:color w:val="334155"/>
          <w:sz w:val="21"/>
          <w:szCs w:val="21"/>
        </w:rPr>
        <w:t xml:space="preserve">Rozdziały wspólne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2506"/>
        <w:gridCol w:w="7131"/>
      </w:tblGrid>
      <w:tr>
        <w:trPr>
          <w:tblHeader/>
        </w:trPr>
        <w:tc>
          <w:tcPr>
            <w:shd w:fill="EEF2F6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caps w:val="false"/>
                <w:color w:val="334155"/>
                <w:sz w:val="16"/>
                <w:szCs w:val="16"/>
              </w:rPr>
              <w:t xml:space="preserve">Rozdział</w:t>
            </w:r>
          </w:p>
        </w:tc>
        <w:tc>
          <w:tcPr>
            <w:shd w:fill="EEF2F6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caps w:val="false"/>
                <w:color w:val="334155"/>
                <w:sz w:val="16"/>
                <w:szCs w:val="16"/>
              </w:rPr>
              <w:t xml:space="preserve">Zawartość specyficzna dla SIRI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Wstęp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cel, zakres, metodyka SIRI, jak czytać Bandy 0–5, skład zespołu, kalendarz badania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Odpowiedzi i wnioski zbiorcze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macierz 8 filarów × Band, ranking 16 wymiarów po Impact Value, 3–5 wniosków przekrojowych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Podsumowanie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mapa drogowa w falach, wymiary wskazane przez metodykę jako ogniska (focus dimensions), kolejny krok z terminami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Granice wnioskowania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7"/>
                <w:szCs w:val="17"/>
              </w:rPr>
              <w:t xml:space="preserve">co potwierdzone dowodem, co deklarowane, czego nie badano; zastrzeżenie o braku formuły agregacji 16D → 8D w kanonie</w:t>
            </w:r>
          </w:p>
        </w:tc>
      </w:tr>
    </w:tbl>
    <w:p>
      <w:pPr>
        <w:spacing w:after="150"/>
      </w:pPr>
      <w:r>
        <w:rPr>
          <w:rFonts w:ascii="Helvetica Neue" w:cs="Helvetica Neue" w:eastAsia="Helvetica Neue" w:hAnsi="Helvetica Neue"/>
          <w:b w:val="false"/>
          <w:bCs w:val="false"/>
          <w:caps w:val="false"/>
          <w:color w:val="0F172A"/>
          <w:sz w:val="2"/>
          <w:szCs w:val="2"/>
        </w:rP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16"/>
        <w:gridCol w:w="9521"/>
      </w:tblGrid>
      <w:tr>
        <w:tc>
          <w:tcPr>
            <w:shd w:fill="85182F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widowControl/>
              <w:spacing w:before="0" w:after="0" w:line="264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shd w:fill="FBF5F6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top"/>
          </w:tcPr>
          <w:p>
            <w:pPr>
              <w:widowControl/>
              <w:spacing w:before="0" w:after="60" w:line="264"/>
            </w:pPr>
            <w:r>
              <w:rPr>
                <w:rFonts w:ascii="Helvetica Neue" w:cs="Helvetica Neue" w:eastAsia="Helvetica Neue" w:hAnsi="Helvetica Neue"/>
                <w:b/>
                <w:bCs/>
                <w:caps/>
                <w:color w:val="85182F"/>
                <w:spacing w:val="40"/>
                <w:sz w:val="16"/>
                <w:szCs w:val="16"/>
              </w:rPr>
              <w:t xml:space="preserve">Uwaga metodyczna do rozstrzygnięcia</w:t>
            </w:r>
          </w:p>
          <w:p>
            <w:pPr>
              <w:widowControl/>
              <w:spacing w:before="0" w:after="0" w:line="264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aps w:val="false"/>
                <w:color w:val="0F172A"/>
                <w:sz w:val="19"/>
                <w:szCs w:val="19"/>
              </w:rPr>
              <w:t xml:space="preserve">Kanon SIRI (whitepaper) definiuje ocenę na poziomie 16 wymiarów i nie podaje formuły agregacji do 8 filarów. Jeżeli raport ma pokazywać wynik filaru, silnik musi używać własnej, jawnie udokumentowanej reguły agregacji i oznaczać ją w raporcie jako regułę Consultify, a nie jako wynik metodyki. Bez tego oznaczenia raport przypisze metodyce liczbę, której ona nie definiuje.</w:t>
            </w:r>
          </w:p>
        </w:tc>
      </w:tr>
    </w:tbl>
    <w:sectPr>
      <w:headerReference w:type="default" r:id="rId8"/>
      <w:footerReference w:type="default" r:id="rId9"/>
      <w:pgSz w:w="11906" w:h="16838" w:orient="portrait"/>
      <w:pgMar w:top="1247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60"/>
    </w:pPr>
    <w:r>
      <w:rPr>
        <w:rFonts w:ascii="Helvetica Neue" w:cs="Helvetica Neue" w:eastAsia="Helvetica Neue" w:hAnsi="Helvetica Neue"/>
        <w:b w:val="false"/>
        <w:bCs w:val="false"/>
        <w:caps w:val="false"/>
        <w:color w:val="64748B"/>
        <w:sz w:val="14"/>
        <w:szCs w:val="14"/>
      </w:rPr>
      <w:t xml:space="preserve">Consultify · dokument roboczy do akceptu właściciela · 3 września 2026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60"/>
    </w:pPr>
    <w:r>
      <w:rPr>
        <w:rFonts w:ascii="Helvetica Neue" w:cs="Helvetica Neue" w:eastAsia="Helvetica Neue" w:hAnsi="Helvetica Neue"/>
        <w:b w:val="false"/>
        <w:bCs w:val="false"/>
        <w:caps w:val="false"/>
        <w:color w:val="64748B"/>
        <w:sz w:val="14"/>
        <w:szCs w:val="14"/>
      </w:rPr>
      <w:t xml:space="preserve">Consultify · dokument roboczy do akceptu właściciela · 3 września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9ED" w:sz="2" w:space="6"/>
      </w:pBdr>
      <w:tabs>
        <w:tab w:val="right" w:pos="9637"/>
      </w:tabs>
      <w:spacing w:after="220"/>
    </w:pPr>
    <w:r>
      <w:rPr>
        <w:rFonts w:ascii="Helvetica Neue" w:cs="Helvetica Neue" w:eastAsia="Helvetica Neue" w:hAnsi="Helvetica Neue"/>
        <w:b w:val="false"/>
        <w:bCs w:val="false"/>
        <w:caps w:val="false"/>
        <w:color w:val="64748B"/>
        <w:sz w:val="15"/>
        <w:szCs w:val="15"/>
      </w:rPr>
      <w:t xml:space="preserve">Szkielet raportu końcowego Oceny · metodyka SIRI · prototyp B1</w:t>
    </w:r>
    <w:r>
      <w:rPr>
        <w:rFonts w:ascii="Helvetica Neue" w:cs="Helvetica Neue" w:eastAsia="Helvetica Neue" w:hAnsi="Helvetica Neue"/>
        <w:b w:val="false"/>
        <w:bCs w:val="false"/>
        <w:caps w:val="false"/>
        <w:color w:val="0F172A"/>
        <w:sz w:val="15"/>
        <w:szCs w:val="15"/>
      </w:rPr>
      <w:t xml:space="preserve">	</w:t>
    </w:r>
    <w:r>
      <w:rPr>
        <w:rFonts w:ascii="Helvetica Neue" w:cs="Helvetica Neue" w:eastAsia="Helvetica Neue" w:hAnsi="Helvetica Neue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9ED" w:sz="2" w:space="6"/>
      </w:pBdr>
      <w:tabs>
        <w:tab w:val="right" w:pos="9637"/>
      </w:tabs>
      <w:spacing w:after="220"/>
    </w:pPr>
    <w:r>
      <w:rPr>
        <w:rFonts w:ascii="Helvetica Neue" w:cs="Helvetica Neue" w:eastAsia="Helvetica Neue" w:hAnsi="Helvetica Neue"/>
        <w:b w:val="false"/>
        <w:bCs w:val="false"/>
        <w:caps w:val="false"/>
        <w:color w:val="64748B"/>
        <w:sz w:val="15"/>
        <w:szCs w:val="15"/>
      </w:rPr>
      <w:t xml:space="preserve">Szkielet raportu końcowego Oceny · metodyka SIRI · prototyp B1</w:t>
    </w:r>
    <w:r>
      <w:rPr>
        <w:rFonts w:ascii="Helvetica Neue" w:cs="Helvetica Neue" w:eastAsia="Helvetica Neue" w:hAnsi="Helvetica Neue"/>
        <w:b w:val="false"/>
        <w:bCs w:val="false"/>
        <w:caps w:val="false"/>
        <w:color w:val="0F172A"/>
        <w:sz w:val="15"/>
        <w:szCs w:val="15"/>
      </w:rPr>
      <w:t xml:space="preserve">	</w:t>
    </w:r>
    <w:r>
      <w:rPr>
        <w:rFonts w:ascii="Helvetica Neue" w:cs="Helvetica Neue" w:eastAsia="Helvetica Neue" w:hAnsi="Helvetica Neue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Szkielet raportu końcowego Oceny — SIRI</dc:title>
  <dc:creator>Consultify</dc:creator>
  <cp:lastModifiedBy>Un-named</cp:lastModifiedBy>
  <cp:revision>1</cp:revision>
  <dcterms:created xsi:type="dcterms:W3CDTF">2026-09-03T19:39:37.328Z</dcterms:created>
  <dcterms:modified xsi:type="dcterms:W3CDTF">2026-09-03T19:39:37.333Z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