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rPr>
          <w:color w:val="85182F"/>
        </w:rPr>
        <w:t xml:space="preserve">● </w:t>
      </w:r>
      <w:r>
        <w:rPr>
          <w:color w:val="85182F"/>
        </w:rPr>
        <w:t xml:space="preserve">C O N S U L T I F Y</w:t>
      </w:r>
    </w:p>
    <w:p>
      <w:pPr>
        <w:pStyle w:val="Kicker"/>
      </w:pPr>
      <w:r>
        <w:rPr>
          <w:color w:val="1D9E75"/>
        </w:rPr>
        <w:t xml:space="preserve">OCENA DOJRZAŁOŚCI CYFROWEJ · DIGITAL PATHFINDER</w:t>
      </w:r>
    </w:p>
    <w:p>
      <w:pPr>
        <w:pStyle w:val="DocStudioTitle"/>
      </w:pPr>
      <w:r>
        <w:t xml:space="preserve">Raport z oceny dojrzałości cyfrowej</w:t>
      </w:r>
    </w:p>
    <w:p>
      <w:pPr>
        <w:pStyle w:val="Subtitle"/>
      </w:pPr>
      <w:r>
        <w:t xml:space="preserve">Zakład Wtryskowni Ćmielów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Klient</w:t>
            </w:r>
          </w:p>
        </w:tc>
        <w:tc>
          <w:tcPr>
            <w:tcW w:type="pct" w:w="68%"/>
          </w:tcPr>
          <w:p>
            <w:pPr>
              <w:pStyle w:val="Tresc"/>
            </w:pPr>
            <w:r>
              <w:rPr>
                <w:i w:val="false"/>
                <w:iCs w:val="false"/>
              </w:rPr>
              <w:t xml:space="preserve">Zakład Wtryskowni Ćmielów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Profil działalności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Zatrudnienie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Okres oceny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Oceniający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Sponsor po stronie klienta</w:t>
            </w:r>
          </w:p>
        </w:tc>
        <w:tc>
          <w:tcPr>
            <w:tcW w:type="pct" w:w="68%"/>
          </w:tcPr>
          <w:p>
            <w:pPr>
              <w:pStyle w:val="Podpis"/>
            </w:pPr>
            <w:r>
              <w:rPr>
                <w:i/>
                <w:iCs/>
              </w:rPr>
              <w:t xml:space="preserve">Do uzupełnienia — dane nie są zapisane w sesji oceny.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Metodyka</w:t>
            </w:r>
          </w:p>
        </w:tc>
        <w:tc>
          <w:tcPr>
            <w:tcW w:type="pct" w:w="68%"/>
          </w:tcPr>
          <w:p>
            <w:pPr>
              <w:pStyle w:val="Tresc"/>
            </w:pPr>
            <w:r>
              <w:rPr>
                <w:i w:val="false"/>
                <w:iCs w:val="false"/>
              </w:rPr>
              <w:t xml:space="preserve">Digital Pathfinder — metodyka oceny dojrzałości cyfrowej DRD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Sygnatura sesji</w:t>
            </w:r>
          </w:p>
        </w:tc>
        <w:tc>
          <w:tcPr>
            <w:tcW w:type="pct" w:w="68%"/>
          </w:tcPr>
          <w:p>
            <w:pPr>
              <w:pStyle w:val="Tresc"/>
            </w:pPr>
            <w:r>
              <w:rPr>
                <w:i w:val="false"/>
                <w:iCs w:val="false"/>
              </w:rPr>
              <w:t xml:space="preserve">session-day34-data-5173bb63</w:t>
            </w:r>
          </w:p>
        </w:tc>
      </w:tr>
      <w:tr>
        <w:tc>
          <w:tcPr>
            <w:tcW w:type="pct" w:w="32%"/>
          </w:tcPr>
          <w:p>
            <w:pPr>
              <w:pStyle w:val="Sygnatura"/>
            </w:pPr>
            <w:r>
              <w:rPr>
                <w:b/>
                <w:bCs/>
              </w:rPr>
              <w:t xml:space="preserve">Data wydania</w:t>
            </w:r>
          </w:p>
        </w:tc>
        <w:tc>
          <w:tcPr>
            <w:tcW w:type="pct" w:w="68%"/>
          </w:tcPr>
          <w:p>
            <w:pPr>
              <w:pStyle w:val="Tresc"/>
            </w:pPr>
            <w:r>
              <w:rPr>
                <w:i w:val="false"/>
                <w:iCs w:val="false"/>
              </w:rPr>
              <w:t xml:space="preserve">2026-08-27</w:t>
            </w:r>
          </w:p>
        </w:tc>
      </w:tr>
    </w:tbl>
    <w:p>
      <w:r>
        <w:br w:type="page"/>
      </w:r>
    </w:p>
    <w:p>
      <w:pPr>
        <w:pStyle w:val="Kicker"/>
        <w:pageBreakBefore/>
      </w:pPr>
      <w:r>
        <w:t xml:space="preserve">NAWIGACJA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Kicker"/>
        <w:keepNext/>
      </w:pPr>
      <w:r>
        <w:t xml:space="preserve">STRESZCZENIE</w:t>
      </w:r>
    </w:p>
    <w:p>
      <w:pPr>
        <w:pStyle w:val="Heading1"/>
        <w:pStyle w:val="Heading1"/>
        <w:keepNext/>
      </w:pPr>
      <w:r>
        <w:t xml:space="preserve">Streszczenie zarządcze</w:t>
      </w:r>
    </w:p>
    <w:p>
      <w:pPr>
        <w:pStyle w:val="Podpis"/>
      </w:pPr>
      <w:r>
        <w:t xml:space="preserve">Sekcja do uzupełnienia — limit 120–150 słów.</w:t>
      </w:r>
    </w:p>
    <w:p>
      <w:pPr>
        <w:pStyle w:val="Caption"/>
        <w:jc w:val="center"/>
      </w:pPr>
      <w:r>
        <w:drawing>
          <wp:inline distT="0" distB="0" distL="0" distR="0">
            <wp:extent cx="577215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Rysunek 1. Profil dojrzałości cyfrowej według siedmiu osi DRD.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Obecny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Docelowy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Luki krytyczne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18%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54%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70%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80%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21%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50%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33%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67%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Dojrzałość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</w:tbl>
    <w:p>
      <w:pPr>
        <w:pStyle w:val="Caption"/>
      </w:pPr>
      <w:r>
        <w:t xml:space="preserve">Tabela 1. Zestawienie siedmiu osi DRD.</w:t>
      </w:r>
    </w:p>
    <w:p>
      <w:pPr>
        <w:pStyle w:val="Heading2"/>
        <w:pStyle w:val="Heading2"/>
      </w:pPr>
      <w:r>
        <w:t xml:space="preserve">Luki krytyczne i rekomendacja główna</w:t>
      </w:r>
    </w:p>
    <w:p>
      <w:pPr>
        <w:pStyle w:val="Podpis"/>
      </w:pPr>
      <w:r>
        <w:t xml:space="preserve">Sekcja do uzupełnienia — limit 120–150 słów.</w:t>
      </w:r>
    </w:p>
    <w:p>
      <w:pPr>
        <w:pStyle w:val="Kicker"/>
        <w:keepNext/>
        <w:pageBreakBefore/>
      </w:pPr>
      <w:r>
        <w:t xml:space="preserve">Rozdział 1 z 7 · oś 1 struktury DRD</w:t>
      </w:r>
    </w:p>
    <w:p>
      <w:pPr>
        <w:pStyle w:val="Heading1"/>
        <w:pStyle w:val="Heading1"/>
        <w:keepNext/>
      </w:pPr>
      <w:r>
        <w:t xml:space="preserve">1. Procesy Cyfrowe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4"/>
        <w:gridCol w:w="544"/>
        <w:gridCol w:w="544"/>
        <w:gridCol w:w="544"/>
        <w:gridCol w:w="544"/>
        <w:gridCol w:w="544"/>
        <w:gridCol w:w="544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Sprzedaży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85182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Krytyczny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Marketingowe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Technologia Procesowa i R&amp;D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Zakupowe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Logistyczne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Produkcyjne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D3DDE7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Jakości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Finansami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HR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2.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1A Procesy Sprzedaży</w:t>
      </w:r>
    </w:p>
    <w:p>
      <w:pPr>
        <w:pStyle w:val="Sygnatura"/>
      </w:pPr>
      <w:r>
        <w:t xml:space="preserve">Poziom obecny: 1 (Rejestracja danych) · Poziom docelowy: 5 (MES) · Luka: 4 · Priorytet: Krytyczny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1B Procesy Marketingowe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Obszar pominięty w ocenie — kod: wiele kodów.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1C Technologia Procesowa i R&amp;D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1D Procesy Zakupowe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1E Procesy Logistyczne</w:t>
      </w:r>
    </w:p>
    <w:p>
      <w:pPr>
        <w:pStyle w:val="Sygnatura"/>
      </w:pPr>
      <w:r>
        <w:t xml:space="preserve">Poziom obecny: 1 (Rejestracja danych) · Poziom docelowy: 3 (Kontrola procesu) · Luka: 2 · Priorytet: Wysoki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1F Procesy Produkcyjne</w:t>
      </w:r>
    </w:p>
    <w:p>
      <w:pPr>
        <w:pStyle w:val="Sygnatura"/>
      </w:pPr>
      <w:r>
        <w:t xml:space="preserve">Poziom obecny: 2 (Kontrola stanowiska) · Poziom docelowy: 4 (Automatyzacja) · Luka: 2 · Priorytet: Wysoki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1G Procesy Jakości</w:t>
      </w:r>
    </w:p>
    <w:p>
      <w:pPr>
        <w:pStyle w:val="Sygnatura"/>
      </w:pPr>
      <w:r>
        <w:t xml:space="preserve">Poziom obecny: 1 (Rejestracja danych) · Poziom docelowy: 3 (Kontrola procesu) · Luka: 2 · Priorytet: Wysoki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1H Zarządzanie Finansami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1I Procesy HR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2 z 7 · oś 2 struktury DRD</w:t>
      </w:r>
    </w:p>
    <w:p>
      <w:pPr>
        <w:pStyle w:val="Heading1"/>
        <w:pStyle w:val="Heading1"/>
        <w:keepNext/>
      </w:pPr>
      <w:r>
        <w:t xml:space="preserve">2. Produkty Cyfrowe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2"/>
        <w:gridCol w:w="762"/>
        <w:gridCol w:w="762"/>
        <w:gridCol w:w="762"/>
        <w:gridCol w:w="762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D3DDE7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Społecznościowe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ICT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Dopasowanie Produktu do Oczekiwań Klienta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Skalowalność Produktu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4.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2A Produkty Cyfrowe</w:t>
      </w:r>
    </w:p>
    <w:p>
      <w:pPr>
        <w:pStyle w:val="Sygnatura"/>
      </w:pPr>
      <w:r>
        <w:t xml:space="preserve">Poziom obecny: 2 (Średniozaawansowany) · Poziom docelowy: 4 (Interaktywny) · Luka: 2 · Priorytet: Wysoki · Dowody: udokumentowane</w:t>
      </w:r>
    </w:p>
    <w:p>
      <w:pPr>
        <w:pStyle w:val="Podpis"/>
      </w:pPr>
      <w:r>
        <w:t xml:space="preserve">Pominięte pytania: 2A-1 — odroczone_do_kolejnej_rewizji.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2B Produkty Społecznościowe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2C Produkty ICT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2D Dopasowanie Produktu do Oczekiwań Klienta</w:t>
      </w:r>
    </w:p>
    <w:p>
      <w:pPr>
        <w:pStyle w:val="Sygnatura"/>
      </w:pPr>
      <w:r>
        <w:t xml:space="preserve">Poziom obecny: 1 (Podstawowy) · Poziom docelowy: 3 (Zaawansowany) · Luka: 2 · Priorytet: Wysoki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2E Skalowalność Produktu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3 z 7 · oś 3 struktury DRD</w:t>
      </w:r>
    </w:p>
    <w:p>
      <w:pPr>
        <w:pStyle w:val="Heading1"/>
        <w:pStyle w:val="Heading1"/>
        <w:keepNext/>
      </w:pPr>
      <w:r>
        <w:t xml:space="preserve">3. Cyfrowe Modele Biznesowe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2"/>
        <w:gridCol w:w="762"/>
        <w:gridCol w:w="762"/>
        <w:gridCol w:w="762"/>
        <w:gridCol w:w="762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E-commerce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D3DDE7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Rozwiązania Platformowe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 As-a-Service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Współdzielenia Zasobów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Monetyzacji Danych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6.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3A Modele E-commerce</w:t>
      </w:r>
    </w:p>
    <w:p>
      <w:pPr>
        <w:pStyle w:val="Sygnatura"/>
      </w:pPr>
      <w:r>
        <w:t xml:space="preserve">Poziom obecny: 2 (Intermediate) · Poziom docelowy: 4 (Advanced Personalization) · Luka: 2 · Priorytet: Wysoki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3B Rozwiązania Platformowe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3C Model As-a-Service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3D Modele Współdzielenia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3E Modele Monetyzacji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4 z 7 · oś 4 struktury DRD</w:t>
      </w:r>
    </w:p>
    <w:p>
      <w:pPr>
        <w:pStyle w:val="Heading1"/>
        <w:pStyle w:val="Heading1"/>
        <w:keepNext/>
      </w:pPr>
      <w:r>
        <w:t xml:space="preserve">4. Zarządzanie Danymi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4"/>
        <w:gridCol w:w="544"/>
        <w:gridCol w:w="544"/>
        <w:gridCol w:w="544"/>
        <w:gridCol w:w="544"/>
        <w:gridCol w:w="544"/>
        <w:gridCol w:w="544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Zbieranie Danych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Metodologia Przechowywania Danych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D3DDE7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85182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Krytyczny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Komunikacja Danych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Analiza Big Data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Przetwarzanie Danych</w:t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44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8.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4A Zbieranie Danych</w:t>
      </w:r>
    </w:p>
    <w:p>
      <w:pPr>
        <w:pStyle w:val="Sygnatura"/>
      </w:pPr>
      <w:r>
        <w:t xml:space="preserve">Poziom obecny: 1 (Manual Data Collection) · Poziom docelowy: 3 (Advanced Technological Solutions) · Luka: 2 · Priorytet: Wysoki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4B Metodologia Przechowywania Danych</w:t>
      </w:r>
    </w:p>
    <w:p>
      <w:pPr>
        <w:pStyle w:val="Sygnatura"/>
      </w:pPr>
      <w:r>
        <w:t xml:space="preserve">Poziom obecny: 2 (Graphic Symbols) · Poziom docelowy: 5 (Mobile Data Collection) · Luka: 3 · Priorytet: Krytyczny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4C Komunikacja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4D Analiza Big Data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4E Przetwarzanie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5 z 7 · oś 5 struktury DRD</w:t>
      </w:r>
    </w:p>
    <w:p>
      <w:pPr>
        <w:pStyle w:val="Heading1"/>
        <w:pStyle w:val="Heading1"/>
        <w:keepNext/>
      </w:pPr>
      <w:r>
        <w:t xml:space="preserve">5. Kultura Transformacji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5"/>
        <w:gridCol w:w="635"/>
        <w:gridCol w:w="635"/>
        <w:gridCol w:w="635"/>
        <w:gridCol w:w="635"/>
        <w:gridCol w:w="635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Postawy przywódcze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Gotowość na zmianę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Ciągły rozwój kompetencji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innowacji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Dostępność zasobów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10.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5A Postawy przywódcze</w:t>
      </w:r>
    </w:p>
    <w:p>
      <w:pPr>
        <w:pStyle w:val="Sygnatura"/>
      </w:pPr>
      <w:r>
        <w:t xml:space="preserve">Poziom obecny: 1 (Pasywny) · Poziom docelowy: 3 (Dyrektywny) · Luka: 2 · Priorytet: Wysoki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5B Gotowość na zmianę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5C Ciągły rozwój kompetencji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5D Kultura innowacji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5E Dostępność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6 z 7 · oś 6 struktury DRD</w:t>
      </w:r>
    </w:p>
    <w:p>
      <w:pPr>
        <w:pStyle w:val="Heading1"/>
        <w:pStyle w:val="Heading1"/>
        <w:keepNext/>
      </w:pPr>
      <w:r>
        <w:t xml:space="preserve">6. Cyberbezpieczeństwo</w:t>
      </w:r>
    </w:p>
    <w:p>
      <w:pPr>
        <w:pStyle w:val="Podpis"/>
      </w:pPr>
      <w:r>
        <w:t xml:space="preserve">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5"/>
        <w:gridCol w:w="635"/>
        <w:gridCol w:w="635"/>
        <w:gridCol w:w="635"/>
        <w:gridCol w:w="635"/>
        <w:gridCol w:w="635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Strategia i zarządzanie ryzykiem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D3DDE7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8F5F1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sieci i systemów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danych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Edukacja i jakość systemów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Plany awaryjne</w:t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635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12.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6A Strategia i zarządzanie ryzykiem</w:t>
      </w:r>
    </w:p>
    <w:p>
      <w:pPr>
        <w:pStyle w:val="Sygnatura"/>
      </w:pPr>
      <w:r>
        <w:t xml:space="preserve">Poziom obecny: 2 (Analiza ryzyka) · Poziom docelowy: 4 (Polityki bezpieczeństwa) · Luka: 2 · Priorytet: Wysoki · Dowody: udokumentowane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6B Ochrona sieci i 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6C Ochrona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6D Edukacja i jakość 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6E Plany awaryjne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Rozdział 7 z 7 · oś 7 struktury DRD</w:t>
      </w:r>
    </w:p>
    <w:p>
      <w:pPr>
        <w:pStyle w:val="Heading1"/>
        <w:pStyle w:val="Heading1"/>
        <w:keepNext/>
      </w:pPr>
      <w:r>
        <w:t xml:space="preserve">7. Dojrzałość AI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2"/>
        <w:gridCol w:w="762"/>
        <w:gridCol w:w="762"/>
        <w:gridCol w:w="762"/>
        <w:gridCol w:w="762"/>
        <w:gridCol w:w="1100"/>
        <w:gridCol w:w="1300"/>
      </w:tblGrid>
      <w:tr>
        <w:trPr>
          <w:tblHeader/>
        </w:trP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shd w:fill="E2E9EF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Dane i Fundamenty AI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Wspierane przez AI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AI w Produktach i Usługach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Governance, Bezpieczeństwo i Etyka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Kompetencje i Kultura AI</w:t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762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FE8" w:sz="2"/>
              <w:left w:val="nil" w:color="FFFFFF" w:sz="0"/>
              <w:bottom w:val="single" w:color="D6DFE8" w:sz="2"/>
              <w:right w:val="nil" w:color="FFFFFF" w:sz="0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Tabela 14. 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7A Dane i Fundamenty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7B Procesy Wspierane przez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7C AI w Produktach i Usługach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7D Governance, Bezpieczeństwo i Etyka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3"/>
        <w:pStyle w:val="Heading3"/>
      </w:pPr>
      <w:r>
        <w:t xml:space="preserve">7E Kompetencje i Kultura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słów; wymagane: stan faktyczny, ocena i wiarygodność, znaczenie dla przedsiębiorstwa, luka i sens poziomu docelowego, najbliższy krok.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Kicker"/>
        <w:keepNext/>
        <w:pageBreakBefore/>
      </w:pPr>
      <w:r>
        <w:t xml:space="preserve">SYNTEZA</w:t>
      </w:r>
    </w:p>
    <w:p>
      <w:pPr>
        <w:pStyle w:val="Heading1"/>
        <w:pStyle w:val="Heading1"/>
        <w:keepNext/>
      </w:pPr>
      <w:r>
        <w:t xml:space="preserve">8. Wnioski końcowe</w:t>
      </w:r>
    </w:p>
    <w:p>
      <w:pPr>
        <w:pStyle w:val="Podpis"/>
      </w:pPr>
      <w:r>
        <w:t xml:space="preserve">Sekcja do uzupełnienia — limit 250–300 słów.</w:t>
      </w:r>
    </w:p>
    <w:p>
      <w:pPr>
        <w:pStyle w:val="Heading2"/>
        <w:pStyle w:val="Heading2"/>
      </w:pPr>
      <w:r>
        <w:t xml:space="preserve">Linia decyzyjna programu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10–30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10–30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10–30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10–30 słów.</w:t>
            </w:r>
          </w:p>
        </w:tc>
      </w:tr>
    </w:tbl>
    <w:p>
      <w:pPr>
        <w:pStyle w:val="Kicker"/>
        <w:keepNext/>
        <w:pageBreakBefore/>
      </w:pPr>
      <w:r>
        <w:t xml:space="preserve">ZAŁĄCZNIK</w:t>
      </w:r>
    </w:p>
    <w:p>
      <w:pPr>
        <w:pStyle w:val="Heading1"/>
        <w:pStyle w:val="Heading1"/>
        <w:keepNext/>
      </w:pPr>
      <w:r>
        <w:t xml:space="preserve">Załącznik A. Rejestr luk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Poziom docelowy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1A Procesy Sprzedaży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MES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4B Metodologia Przechowywania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Krytyczny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 — Mobile Data Collection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1G Procesy Jakości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Kontrola procesu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1E Procesy Logistyczne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Kontrola procesu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1F Procesy Produkcyjne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Automatyzacja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2D Dopasowanie Produktu do Oczekiwań Klienta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Zaawansowany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2A 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Interaktywny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3A Modele E-commerce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Advanced Personalization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4A Zbieranie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Advanced Technological Solutions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5A Postawy przywódcze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3 — Dyrektywny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6A Strategia i zarządzanie ryzykiem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Wysoki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4 — Polityki bezpieczeństwa</w:t>
            </w:r>
          </w:p>
        </w:tc>
      </w:tr>
    </w:tbl>
    <w:p>
      <w:pPr>
        <w:pStyle w:val="Caption"/>
      </w:pPr>
      <w:r>
        <w:t xml:space="preserve">Tabela 17. Rejestr luk posortowany malejąco według wielkości luki.</w:t>
      </w:r>
    </w:p>
    <w:p>
      <w:pPr>
        <w:pStyle w:val="Heading1"/>
        <w:pStyle w:val="Heading1"/>
      </w:pPr>
      <w:r>
        <w:t xml:space="preserve">Źródła i identyfikowalność</w:t>
      </w:r>
    </w:p>
    <w:p>
      <w:pPr>
        <w:pStyle w:val="AssumptionBody"/>
      </w:pPr>
      <w:r>
        <w:t xml:space="preserve">Nie dołączono źródeł. Merytoryczne bloki treści oznaczono jako założenia i przed dystrybucją do klienta wymagają pakietu źródłowego.</w:t>
      </w:r>
    </w:p>
    <w:sectPr>
      <w:footerReference w:type="default" r:id="rId6"/>
      <w:footerReference w:type="first" r:id="rId7"/>
      <w:pgSz w:w="11906" w:h="16838" w:orient="portrait"/>
      <w:pgMar w:top="1247" w:right="1247" w:bottom="1134" w:left="1247" w:header="708" w:footer="62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FE8" w:sz="2" w:space="6"/>
      </w:pBdr>
      <w:tabs>
        <w:tab w:val="center" w:pos="4706"/>
        <w:tab w:val="right" w:pos="9412"/>
      </w:tabs>
      <w:jc w:val="left"/>
    </w:pPr>
    <w:r>
      <w:rPr>
        <w:color w:val="6B7280"/>
        <w:sz w:val="16"/>
        <w:szCs w:val="16"/>
      </w:rPr>
      <w:t xml:space="preserve">Poufne — Zakład Wtryskowni Ćmielów</w:t>
    </w:r>
    <w:r>
      <w:rPr>
        <w:sz w:val="16"/>
        <w:szCs w:val="16"/>
      </w:rPr>
      <w:t xml:space="preserve">	</w:t>
    </w:r>
    <w:r>
      <w:rPr>
        <w:color w:val="6B7280"/>
        <w:sz w:val="16"/>
        <w:szCs w:val="16"/>
      </w:rPr>
      <w:t xml:space="preserve">Strona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z 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sz w:val="16"/>
        <w:szCs w:val="16"/>
      </w:rPr>
      <w:t xml:space="preserve">	</w:t>
    </w:r>
    <w:r>
      <w:rPr>
        <w:color w:val="85182F"/>
        <w:sz w:val="16"/>
        <w:szCs w:val="16"/>
      </w:rPr>
      <w:t xml:space="preserve">● </w:t>
    </w:r>
    <w:r>
      <w:rPr>
        <w:color w:val="6B7280"/>
        <w:sz w:val="16"/>
        <w:szCs w:val="16"/>
      </w:rPr>
      <w:t xml:space="preserve">Consultify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pl-PL" w:eastAsia="pl-PL" w:bidi="pl-P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DocStudioTitle">
    <w:name w:val="Doc Studio Title"/>
    <w:basedOn w:val="Normal"/>
    <w:next w:val="Subtitle"/>
    <w:qFormat/>
    <w:pPr>
      <w:spacing w:before="600" w:after="200"/>
      <w:jc w:val="center"/>
    </w:pPr>
    <w:rPr>
      <w:rFonts w:ascii="Calibri Light" w:cs="Calibri Light" w:eastAsia="Calibri Light" w:hAnsi="Calibri Light"/>
      <w:b/>
      <w:bCs/>
      <w:color w:val="0A2F57"/>
      <w:sz w:val="56"/>
      <w:szCs w:val="56"/>
    </w:rPr>
  </w:style>
  <w:style w:type="paragraph" w:styleId="Subtitle">
    <w:name w:val="Subtitle"/>
    <w:basedOn w:val="Normal"/>
    <w:next w:val="BodyText"/>
    <w:qFormat/>
    <w:pPr>
      <w:spacing w:after="80"/>
      <w:jc w:val="center"/>
    </w:pPr>
    <w:rPr>
      <w:rFonts w:ascii="Calibri" w:cs="Calibri" w:eastAsia="Calibri" w:hAnsi="Calibri"/>
      <w:i/>
      <w:iCs/>
      <w:color w:val="475569"/>
      <w:sz w:val="26"/>
      <w:szCs w:val="26"/>
    </w:rPr>
  </w:style>
  <w:style w:type="paragraph" w:styleId="Heading1">
    <w:name w:val="Heading 1"/>
    <w:basedOn w:val="Normal"/>
    <w:next w:val="BodyText"/>
    <w:qFormat/>
    <w:pPr>
      <w:pBdr>
        <w:bottom w:val="single" w:color="1D9E75" w:sz="8" w:space="6"/>
      </w:pBd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BodyText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BodyText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BodyText">
    <w:name w:val="Body Text"/>
    <w:basedOn w:val="Normal"/>
    <w:next w:val="BodyText"/>
    <w:qFormat/>
    <w:pPr>
      <w:spacing w:after="120"/>
    </w:pPr>
    <w:rPr>
      <w:rFonts w:ascii="Calibri" w:cs="Calibri" w:eastAsia="Calibri" w:hAnsi="Calibri"/>
      <w:color w:val="1F2933"/>
      <w:sz w:val="22"/>
      <w:szCs w:val="22"/>
    </w:rPr>
  </w:style>
  <w:style w:type="paragraph" w:styleId="BlockQuote">
    <w:name w:val="Block Quote"/>
    <w:basedOn w:val="BodyText"/>
    <w:next w:val="BodyText"/>
    <w:pPr>
      <w:pBdr>
        <w:left w:val="single" w:color="0C447C" w:sz="18" w:space="12"/>
      </w:pBdr>
      <w:spacing w:before="80" w:after="120"/>
      <w:ind w:left="360"/>
    </w:pPr>
    <w:rPr>
      <w:rFonts w:ascii="Calibri" w:cs="Calibri" w:eastAsia="Calibri" w:hAnsi="Calibri"/>
      <w:i/>
      <w:iCs/>
      <w:color w:val="475569"/>
      <w:sz w:val="22"/>
      <w:szCs w:val="22"/>
    </w:rPr>
  </w:style>
  <w:style w:type="paragraph" w:styleId="Caption">
    <w:name w:val="Caption"/>
    <w:basedOn w:val="Normal"/>
    <w:next w:val="BodyText"/>
    <w:pPr>
      <w:spacing w:before="60" w:after="120"/>
    </w:pPr>
    <w:rPr>
      <w:rFonts w:ascii="Calibri" w:cs="Calibri" w:eastAsia="Calibri" w:hAnsi="Calibri"/>
      <w:i/>
      <w:iCs/>
      <w:color w:val="64748B"/>
      <w:sz w:val="18"/>
      <w:szCs w:val="18"/>
    </w:rPr>
  </w:style>
  <w:style w:type="paragraph" w:styleId="DocStudioFootnote">
    <w:name w:val="Doc Studio Footnote"/>
    <w:basedOn w:val="Normal"/>
    <w:next w:val="BodyText"/>
    <w:pPr>
      <w:spacing w:after="40"/>
    </w:pPr>
    <w:rPr>
      <w:rFonts w:ascii="Calibri" w:cs="Calibri" w:eastAsia="Calibri" w:hAnsi="Calibri"/>
      <w:color w:val="475569"/>
      <w:sz w:val="18"/>
      <w:szCs w:val="18"/>
    </w:rPr>
  </w:style>
  <w:style w:type="paragraph" w:styleId="AssumptionBody">
    <w:name w:val="Assumption Body"/>
    <w:basedOn w:val="BodyText"/>
    <w:next w:val="BodyText"/>
    <w:pPr>
      <w:spacing w:after="120"/>
    </w:pPr>
    <w:rPr>
      <w:rFonts w:ascii="Calibri" w:cs="Calibri" w:eastAsia="Calibri" w:hAnsi="Calibri"/>
      <w:i/>
      <w:iCs/>
      <w:color w:val="92400E"/>
      <w:sz w:val="22"/>
      <w:szCs w:val="22"/>
    </w:rPr>
  </w:style>
  <w:style w:type="paragraph" w:styleId="Callout">
    <w:name w:val="Callout"/>
    <w:basedOn w:val="BodyText"/>
    <w:next w:val="BodyText"/>
    <w:pPr>
      <w:pBdr>
        <w:left w:val="single" w:color="1D9E75" w:sz="24" w:space="12"/>
      </w:pBdr>
      <w:shd w:fill="F5F8FC" w:val="clear"/>
      <w:spacing w:before="80" w:after="120"/>
      <w:ind w:left="240"/>
    </w:pPr>
    <w:rPr>
      <w:rFonts w:ascii="Calibri" w:cs="Calibri" w:eastAsia="Calibri" w:hAnsi="Calibri"/>
      <w:color w:val="1F2933"/>
      <w:sz w:val="22"/>
      <w:szCs w:val="22"/>
    </w:rPr>
  </w:style>
  <w:style w:type="paragraph" w:styleId="SourceList">
    <w:name w:val="Source List"/>
    <w:basedOn w:val="BodyText"/>
    <w:next w:val="SourceList"/>
    <w:pPr>
      <w:spacing w:after="60"/>
    </w:pPr>
    <w:rPr>
      <w:rFonts w:ascii="Calibri" w:cs="Calibri" w:eastAsia="Calibri" w:hAnsi="Calibri"/>
      <w:color w:val="1F2933"/>
      <w:sz w:val="22"/>
      <w:szCs w:val="22"/>
    </w:rPr>
  </w:style>
  <w:style w:type="paragraph" w:styleId="TOCHeading">
    <w:name w:val="TOC Heading"/>
    <w:basedOn w:val="Heading1"/>
    <w:next w:val="BodyText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Tresc">
    <w:name w:val="Treść"/>
    <w:basedOn w:val="Normal"/>
    <w:next w:val="Tresc"/>
    <w:qFormat/>
    <w:pPr>
      <w:spacing w:line="312" w:after="120"/>
    </w:pPr>
    <w:rPr>
      <w:rFonts w:ascii="Calibri" w:cs="Calibri" w:eastAsia="Calibri" w:hAnsi="Calibri"/>
      <w:color w:val="1F2937"/>
      <w:sz w:val="22"/>
      <w:szCs w:val="22"/>
    </w:rPr>
  </w:style>
  <w:style w:type="paragraph" w:styleId="Lead">
    <w:name w:val="Lead"/>
    <w:basedOn w:val="Tresc"/>
    <w:next w:val="Tresc"/>
    <w:pPr>
      <w:spacing w:line="336" w:after="160"/>
    </w:pPr>
    <w:rPr>
      <w:rFonts w:ascii="Calibri" w:cs="Calibri" w:eastAsia="Calibri" w:hAnsi="Calibri"/>
      <w:color w:val="1F2937"/>
      <w:sz w:val="24"/>
      <w:szCs w:val="24"/>
    </w:rPr>
  </w:style>
  <w:style w:type="paragraph" w:styleId="Kicker">
    <w:name w:val="Kicker"/>
    <w:basedOn w:val="Normal"/>
    <w:next w:val="Heading1"/>
    <w:pPr>
      <w:spacing w:after="80"/>
    </w:pPr>
    <w:rPr>
      <w:rFonts w:ascii="Calibri" w:cs="Calibri" w:eastAsia="Calibri" w:hAnsi="Calibri"/>
      <w:b/>
      <w:bCs/>
      <w:color w:val="1D9E75"/>
      <w:sz w:val="18"/>
      <w:szCs w:val="18"/>
    </w:rPr>
  </w:style>
  <w:style w:type="paragraph" w:styleId="Podpis">
    <w:name w:val="Podpis"/>
    <w:basedOn w:val="Tresc"/>
    <w:next w:val="Tresc"/>
    <w:pPr>
      <w:spacing w:before="60" w:after="120"/>
    </w:pPr>
    <w:rPr>
      <w:rFonts w:ascii="Calibri" w:cs="Calibri" w:eastAsia="Calibri" w:hAnsi="Calibri"/>
      <w:i/>
      <w:iCs/>
      <w:color w:val="6B7280"/>
      <w:sz w:val="18"/>
      <w:szCs w:val="18"/>
    </w:rPr>
  </w:style>
  <w:style w:type="paragraph" w:styleId="Sygnatura">
    <w:name w:val="Sygnatura"/>
    <w:basedOn w:val="Tresc"/>
    <w:next w:val="Tresc"/>
    <w:pPr>
      <w:pBdr>
        <w:left w:val="single" w:color="1D9E75" w:sz="18" w:space="10"/>
      </w:pBdr>
      <w:shd w:fill="E2E9EF" w:val="clear"/>
      <w:spacing w:before="80" w:after="100"/>
      <w:ind w:left="180"/>
    </w:pPr>
    <w:rPr>
      <w:rFonts w:ascii="Calibri" w:cs="Calibri" w:eastAsia="Calibri" w:hAnsi="Calibri"/>
      <w:color w:val="1F2937"/>
      <w:sz w:val="19"/>
      <w:szCs w:val="19"/>
    </w:rPr>
  </w:style>
  <w:style w:type="paragraph" w:styleId="TOC1">
    <w:name w:val="TOC 1"/>
    <w:basedOn w:val="Tresc"/>
    <w:next w:val="TOC1"/>
    <w:pPr>
      <w:spacing w:after="70"/>
    </w:pPr>
    <w:rPr>
      <w:rFonts w:ascii="Calibri" w:cs="Calibri" w:eastAsia="Calibri" w:hAnsi="Calibri"/>
      <w:color w:val="083152"/>
      <w:sz w:val="20"/>
      <w:szCs w:val="20"/>
    </w:rPr>
  </w:style>
  <w:style w:type="paragraph" w:styleId="TOC2">
    <w:name w:val="TOC 2"/>
    <w:basedOn w:val="Tresc"/>
    <w:next w:val="TOC2"/>
    <w:pPr>
      <w:spacing w:after="50"/>
      <w:ind w:left="360"/>
    </w:pPr>
    <w:rPr>
      <w:rFonts w:ascii="Calibri" w:cs="Calibri" w:eastAsia="Calibri" w:hAnsi="Calibri"/>
      <w:color w:val="6B7280"/>
      <w:sz w:val="18"/>
      <w:szCs w:val="18"/>
    </w:rPr>
  </w:style>
  <w:style w:type="paragraph" w:styleId="NaglowekBezNumeru">
    <w:name w:val="Nagłówek bez numeru"/>
    <w:basedOn w:val="Heading1"/>
    <w:next w:val="Tresc"/>
    <w:qFormat/>
    <w:pPr>
      <w:spacing w:before="240" w:after="120"/>
    </w:pPr>
    <w:rPr>
      <w:rFonts w:ascii="Calibri Light" w:cs="Calibri Light" w:eastAsia="Calibri Light" w:hAnsi="Calibri Light"/>
      <w:color w:val="0C447C"/>
      <w:sz w:val="40"/>
      <w:szCs w:val="40"/>
    </w:rPr>
  </w:style>
  <w:style w:type="paragraph" w:styleId="NaglowekBezNumeru2">
    <w:name w:val="Nagłówek sekcji bez spisu"/>
    <w:basedOn w:val="Heading2"/>
    <w:next w:val="Tresc"/>
    <w:pPr>
      <w:spacing w:before="200" w:after="100"/>
    </w:pPr>
    <w:rPr>
      <w:rFonts w:ascii="Calibri Light" w:cs="Calibri Light" w:eastAsia="Calibri Light" w:hAnsi="Calibri Light"/>
      <w:b/>
      <w:bCs/>
      <w:color w:val="08315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dcce761cbc96fd7cd9fd716a0f5e685fb7b7ef06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z oceny dojrzałości cyfrowej</dc:title>
  <dc:creator>Consultify Document Studio</dc:creator>
  <dc:description>Consultify Document Studio · client_final_report · executive</dc:description>
  <cp:lastModifiedBy>Un-named</cp:lastModifiedBy>
  <cp:revision>1</cp:revision>
  <dcterms:created xsi:type="dcterms:W3CDTF">2026-08-27T03:46:42.202Z</dcterms:created>
  <dcterms:modified xsi:type="dcterms:W3CDTF">2026-08-27T03:46:42.202Z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