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rPr>
          <w:color w:val="85182F"/>
        </w:rPr>
        <w:t xml:space="preserve">● </w:t>
      </w:r>
      <w:r>
        <w:rPr>
          <w:color w:val="85182F"/>
        </w:rPr>
        <w:t xml:space="preserve">C O N S U L T I F Y</w:t>
      </w:r>
    </w:p>
    <w:p>
      <w:pPr>
        <w:pStyle w:val="Kicker"/>
      </w:pPr>
      <w:r>
        <w:rPr>
          <w:color w:val="1D9E75"/>
        </w:rPr>
        <w:t xml:space="preserve">OCENA DOJRZAŁOŚCI CYFROWEJ · DIGITAL PATHFINDER</w:t>
      </w:r>
    </w:p>
    <w:p>
      <w:pPr>
        <w:pStyle w:val="DocStudioTitle"/>
      </w:pPr>
      <w:r>
        <w:t xml:space="preserve">Raport z oceny dojrzałości cyfrowej</w:t>
      </w:r>
    </w:p>
    <w:p>
      <w:pPr>
        <w:pStyle w:val="Subtitle"/>
      </w:pPr>
      <w:r>
        <w:t xml:space="preserve">Fabryka Łożysk Żory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Klient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Fabryka Łożysk Żory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Profil działalności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Zatrudnienie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Okres oceny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Oceniający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Sponsor po stronie klienta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Metodyka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Digital Pathfinder — metodyka oceny dojrzałości cyfrowej DRD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Sygnatura sesji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session-day34-foreign-5173bb63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Data wydania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2026-08-27</w:t>
            </w:r>
          </w:p>
        </w:tc>
      </w:tr>
    </w:tbl>
    <w:p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120–150 słów.</w:t>
      </w:r>
    </w:p>
    <w:p>
      <w:pPr>
        <w:pStyle w:val="Caption"/>
        <w:jc w:val="center"/>
      </w:pPr>
      <w:r>
        <w:drawing>
          <wp:inline distT="0" distB="0" distL="0" distR="0">
            <wp:extent cx="577215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Rysunek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14%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100%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14%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43%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Tabela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120–150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4"/>
        <w:gridCol w:w="544"/>
        <w:gridCol w:w="544"/>
        <w:gridCol w:w="544"/>
        <w:gridCol w:w="544"/>
        <w:gridCol w:w="544"/>
        <w:gridCol w:w="544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85182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Krytyczny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2.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1 (Rejestracja danych) · Poziom docelowy: 4 (Automatyzacja) · Luka: 3 · Priorytet: Krytyczny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4.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1 (Podstawowy) · Poziom docelowy: 3 (Zaawansowany) · Luka: 2 · Priorytet: Wysoki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85182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Krytyczny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6.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2 (Intermediate) · Poziom docelowy: 5 (Expert) · Luka: 3 · Priorytet: Krytyczny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4"/>
        <w:gridCol w:w="544"/>
        <w:gridCol w:w="544"/>
        <w:gridCol w:w="544"/>
        <w:gridCol w:w="544"/>
        <w:gridCol w:w="544"/>
        <w:gridCol w:w="544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8.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1 (Manual Data Collection) · Poziom docelowy: 3 (Advanced Technological Solutions) · Luka: 2 · Priorytet: Wysoki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5"/>
        <w:gridCol w:w="635"/>
        <w:gridCol w:w="635"/>
        <w:gridCol w:w="635"/>
        <w:gridCol w:w="635"/>
        <w:gridCol w:w="635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85182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Krytyczny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10.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1 (Pasywny) · Poziom docelowy: 4 (Wspierający) · Luka: 3 · Priorytet: Krytyczny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5"/>
        <w:gridCol w:w="635"/>
        <w:gridCol w:w="635"/>
        <w:gridCol w:w="635"/>
        <w:gridCol w:w="635"/>
        <w:gridCol w:w="635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12.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1 (Brak strategii) · Poziom docelowy: 3 (Plan działań) · Luka: 2 · Priorytet: Wysoki · Dowody: zadeklarowane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14.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250–300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</w:tbl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Poziom docelowy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1A 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Automatyzacja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3A 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Expert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5A 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Wspierający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2A 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4A 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Advanced Technological Solutions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6A 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Plan działań</w:t>
            </w:r>
          </w:p>
        </w:tc>
      </w:tr>
    </w:tbl>
    <w:p>
      <w:pPr>
        <w:pStyle w:val="Caption"/>
      </w:pPr>
      <w:r>
        <w:t xml:space="preserve">Tabela 17. Rejestr luk posortowany malejąco według wielkości luki.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FE8" w:sz="2" w:space="6"/>
      </w:pBdr>
      <w:tabs>
        <w:tab w:val="center" w:pos="4706"/>
        <w:tab w:val="right" w:pos="9412"/>
      </w:tabs>
      <w:jc w:val="left"/>
    </w:pPr>
    <w:r>
      <w:rPr>
        <w:color w:val="6B7280"/>
        <w:sz w:val="16"/>
        <w:szCs w:val="16"/>
      </w:rPr>
      <w:t xml:space="preserve">Poufne — Fabryka Łożysk Żory</w:t>
    </w:r>
    <w:r>
      <w:rPr>
        <w:sz w:val="16"/>
        <w:szCs w:val="16"/>
      </w:rPr>
      <w:t xml:space="preserve">	</w:t>
    </w:r>
    <w:r>
      <w:rPr>
        <w:color w:val="6B7280"/>
        <w:sz w:val="16"/>
        <w:szCs w:val="16"/>
      </w:rPr>
      <w:t xml:space="preserve">Strona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z 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sz w:val="16"/>
        <w:szCs w:val="16"/>
      </w:rPr>
      <w:t xml:space="preserve">	</w:t>
    </w:r>
    <w:r>
      <w:rPr>
        <w:color w:val="85182F"/>
        <w:sz w:val="16"/>
        <w:szCs w:val="16"/>
      </w:rPr>
      <w:t xml:space="preserve">● </w:t>
    </w:r>
    <w:r>
      <w:rPr>
        <w:color w:val="6B7280"/>
        <w:sz w:val="16"/>
        <w:szCs w:val="16"/>
      </w:rPr>
      <w:t xml:space="preserve">Consultify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a80ff4e38b61f4ea633f992c343b2790439901c9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2026-08-27T03:46:42.336Z</dcterms:created>
  <dcterms:modified xsi:type="dcterms:W3CDTF">2026-08-27T03:46:42.336Z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