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DocStudioTitle"/>
        <w:jc w:val="center"/>
      </w:pPr>
      <w:r>
        <w:t xml:space="preserve">Raport z oceny dojrzałości cyfrowej</w:t>
      </w:r>
    </w:p>
    <w:p>
      <w:pPr>
        <w:pBdr>
          <w:bottom w:val="single" w:color="1D9E75" w:sz="18" w:space="1"/>
        </w:pBdr>
        <w:spacing w:after="160"/>
        <w:jc w:val="center"/>
      </w:pPr>
      <w:r>
        <w:t xml:space="preserve"/>
      </w:r>
    </w:p>
    <w:p>
      <w:pPr>
        <w:pStyle w:val="Subtitle"/>
        <w:jc w:val="center"/>
      </w:pPr>
      <w:r>
        <w:t xml:space="preserve">client final report · PL · comprehensive · poufne dla klienta</w:t>
      </w:r>
    </w:p>
    <w:p>
      <w:pPr>
        <w:pStyle w:val="Subtitle"/>
        <w:jc w:val="center"/>
      </w:pPr>
      <w:r>
        <w:t xml:space="preserve">Odbiorcy: [Nazwa klienta do uzupełnienia]</w:t>
      </w:r>
    </w:p>
    <w:p>
      <w:pPr>
        <w:pStyle w:val="Subtitle"/>
        <w:jc w:val="center"/>
      </w:pPr>
      <w:r>
        <w:t xml:space="preserve">Wygenerowano: 2026-08-27</w:t>
      </w:r>
      <w:r>
        <w:br w:type="page"/>
      </w:r>
    </w:p>
    <w:p>
      <w:pPr>
        <w:pStyle w:val="Kicker"/>
        <w:pageBreakBefore/>
      </w:pPr>
      <w:r>
        <w:t xml:space="preserve">NAWIGACJA</w:t>
      </w:r>
    </w:p>
    <w:sdt>
      <w:sdtPr>
        <w:alias w:val="Spis treści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pPr>
        <w:pStyle w:val="Kicker"/>
        <w:keepNext/>
      </w:pPr>
      <w:r>
        <w:t xml:space="preserve">STRESZCZENIE</w:t>
      </w:r>
    </w:p>
    <w:p>
      <w:pPr>
        <w:pStyle w:val="Heading1"/>
        <w:pStyle w:val="Heading1"/>
        <w:keepNext/>
      </w:pPr>
      <w:r>
        <w:t xml:space="preserve">Streszczenie zarządcze</w:t>
      </w:r>
    </w:p>
    <w:p>
      <w:pPr>
        <w:pStyle w:val="Podpis"/>
      </w:pPr>
      <w:r>
        <w:t xml:space="preserve">Sekcja do uzupełnienia — limit 180–260 słów.</w:t>
      </w:r>
    </w:p>
    <w:p>
      <w:pPr>
        <w:pStyle w:val="Caption"/>
        <w:jc w:val="center"/>
      </w:pPr>
      <w:r>
        <w:drawing>
          <wp:inline distT="0" distB="0" distL="0" distR="0">
            <wp:extent cx="6096000" cy="3429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 xml:space="preserve">Figure 1 — Profil dojrzałości DRD</w:t>
      </w:r>
    </w:p>
    <w:p>
      <w:pPr>
        <w:pStyle w:val="Caption"/>
      </w:pPr>
      <w:r>
        <w:rPr>
          <w:i/>
          <w:iCs/>
        </w:rPr>
        <w:t xml:space="preserve">Rys. 1. Profil dojrzałości cyfrowej według siedmiu osi DRD.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shd w:fill="E2E9EF"/>
          </w:tcPr>
          <w:p>
            <w:pPr>
              <w:pStyle w:val="BodyText"/>
            </w:pPr>
            <w:r>
              <w:rPr>
                <w:b/>
                <w:bCs/>
                <w:color w:val="083152"/>
                <w:sz w:val="20"/>
                <w:szCs w:val="20"/>
              </w:rPr>
              <w:t xml:space="preserve">Oś</w:t>
            </w:r>
          </w:p>
        </w:tc>
        <w:tc>
          <w:tcPr>
            <w:shd w:fill="E2E9EF"/>
          </w:tcPr>
          <w:p>
            <w:pPr>
              <w:pStyle w:val="BodyText"/>
            </w:pPr>
            <w:r>
              <w:rPr>
                <w:b/>
                <w:bCs/>
                <w:color w:val="083152"/>
                <w:sz w:val="20"/>
                <w:szCs w:val="20"/>
              </w:rPr>
              <w:t xml:space="preserve">Obecny</w:t>
            </w:r>
          </w:p>
        </w:tc>
        <w:tc>
          <w:tcPr>
            <w:shd w:fill="E2E9EF"/>
          </w:tcPr>
          <w:p>
            <w:pPr>
              <w:pStyle w:val="BodyText"/>
            </w:pPr>
            <w:r>
              <w:rPr>
                <w:b/>
                <w:bCs/>
                <w:color w:val="083152"/>
                <w:sz w:val="20"/>
                <w:szCs w:val="20"/>
              </w:rPr>
              <w:t xml:space="preserve">Docelowy</w:t>
            </w:r>
          </w:p>
        </w:tc>
        <w:tc>
          <w:tcPr>
            <w:shd w:fill="E2E9EF"/>
          </w:tcPr>
          <w:p>
            <w:pPr>
              <w:pStyle w:val="BodyText"/>
            </w:pPr>
            <w:r>
              <w:rPr>
                <w:b/>
                <w:bCs/>
                <w:color w:val="083152"/>
                <w:sz w:val="20"/>
                <w:szCs w:val="20"/>
              </w:rPr>
              <w:t xml:space="preserve">Luki krytyczne</w:t>
            </w:r>
          </w:p>
        </w:tc>
      </w:tr>
      <w:tr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Procesy Cyfrowe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—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—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0</w:t>
            </w:r>
          </w:p>
        </w:tc>
      </w:tr>
      <w:tr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Produkty Cyfrowe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—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—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0</w:t>
            </w:r>
          </w:p>
        </w:tc>
      </w:tr>
      <w:tr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Cyfrowe Modele Biznesowe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—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—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0</w:t>
            </w:r>
          </w:p>
        </w:tc>
      </w:tr>
      <w:tr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Zarządzanie Danymi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—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—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0</w:t>
            </w:r>
          </w:p>
        </w:tc>
      </w:tr>
      <w:tr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Kultura Transformacji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—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—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0</w:t>
            </w:r>
          </w:p>
        </w:tc>
      </w:tr>
      <w:tr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Cyberbezpieczeństwo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—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—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0</w:t>
            </w:r>
          </w:p>
        </w:tc>
      </w:tr>
      <w:tr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Dojrzałość AI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—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—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0</w:t>
            </w:r>
          </w:p>
        </w:tc>
      </w:tr>
    </w:tbl>
    <w:p>
      <w:pPr>
        <w:pStyle w:val="Caption"/>
      </w:pPr>
      <w:r>
        <w:t xml:space="preserve">Table 1 — Tab. 1. Zestawienie siedmiu osi DRD.</w:t>
      </w:r>
    </w:p>
    <w:p>
      <w:pPr>
        <w:pStyle w:val="Heading2"/>
        <w:pStyle w:val="Heading2"/>
      </w:pPr>
      <w:r>
        <w:t xml:space="preserve">Luki krytyczne i rekomendacja główna</w:t>
      </w:r>
    </w:p>
    <w:p>
      <w:pPr>
        <w:pStyle w:val="Podpis"/>
      </w:pPr>
      <w:r>
        <w:t xml:space="preserve">Sekcja do uzupełnienia — limit 180–260 słów.</w:t>
      </w:r>
    </w:p>
    <w:p>
      <w:pPr>
        <w:pStyle w:val="Kicker"/>
        <w:keepNext/>
        <w:pageBreakBefore/>
      </w:pPr>
      <w:r>
        <w:t xml:space="preserve">Rozdział 1 z 7 · oś 1 struktury DRD</w:t>
      </w:r>
    </w:p>
    <w:p>
      <w:pPr>
        <w:pStyle w:val="Heading1"/>
        <w:pStyle w:val="Heading1"/>
        <w:keepNext/>
      </w:pPr>
      <w:r>
        <w:t xml:space="preserve">1. Procesy Cyfrowe</w:t>
      </w:r>
    </w:p>
    <w:p>
      <w:pPr>
        <w:pStyle w:val="Podpis"/>
      </w:pPr>
      <w:r>
        <w:t xml:space="preserve">Oś nie została oceniona. Sekcja do uzupełnienia — limit 120–180 słów.</w:t>
      </w:r>
    </w:p>
    <w:p>
      <w:pPr>
        <w:pStyle w:val="Heading2"/>
        <w:pStyle w:val="Heading2"/>
      </w:pPr>
      <w:r>
        <w:t xml:space="preserve">Matryca poziomów dojrzałości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shd w:fill="E2E9EF"/>
          </w:tcPr>
          <w:p>
            <w:pPr>
              <w:pStyle w:val="BodyText"/>
            </w:pPr>
            <w:r>
              <w:rPr>
                <w:b/>
                <w:bCs/>
                <w:color w:val="083152"/>
                <w:sz w:val="20"/>
                <w:szCs w:val="20"/>
              </w:rPr>
              <w:t xml:space="preserve">Obszar</w:t>
            </w:r>
          </w:p>
        </w:tc>
        <w:tc>
          <w:tcPr>
            <w:shd w:fill="E2E9EF"/>
          </w:tcPr>
          <w:p>
            <w:pPr>
              <w:pStyle w:val="BodyText"/>
            </w:pPr>
            <w:r>
              <w:rPr>
                <w:b/>
                <w:bCs/>
                <w:color w:val="083152"/>
                <w:sz w:val="20"/>
                <w:szCs w:val="20"/>
              </w:rPr>
              <w:t xml:space="preserve">1</w:t>
            </w:r>
          </w:p>
        </w:tc>
        <w:tc>
          <w:tcPr>
            <w:shd w:fill="E2E9EF"/>
          </w:tcPr>
          <w:p>
            <w:pPr>
              <w:pStyle w:val="BodyText"/>
            </w:pPr>
            <w:r>
              <w:rPr>
                <w:b/>
                <w:bCs/>
                <w:color w:val="083152"/>
                <w:sz w:val="20"/>
                <w:szCs w:val="20"/>
              </w:rPr>
              <w:t xml:space="preserve">2</w:t>
            </w:r>
          </w:p>
        </w:tc>
        <w:tc>
          <w:tcPr>
            <w:shd w:fill="E2E9EF"/>
          </w:tcPr>
          <w:p>
            <w:pPr>
              <w:pStyle w:val="BodyText"/>
            </w:pPr>
            <w:r>
              <w:rPr>
                <w:b/>
                <w:bCs/>
                <w:color w:val="083152"/>
                <w:sz w:val="20"/>
                <w:szCs w:val="20"/>
              </w:rPr>
              <w:t xml:space="preserve">3</w:t>
            </w:r>
          </w:p>
        </w:tc>
        <w:tc>
          <w:tcPr>
            <w:shd w:fill="E2E9EF"/>
          </w:tcPr>
          <w:p>
            <w:pPr>
              <w:pStyle w:val="BodyText"/>
            </w:pPr>
            <w:r>
              <w:rPr>
                <w:b/>
                <w:bCs/>
                <w:color w:val="083152"/>
                <w:sz w:val="20"/>
                <w:szCs w:val="20"/>
              </w:rPr>
              <w:t xml:space="preserve">4</w:t>
            </w:r>
          </w:p>
        </w:tc>
        <w:tc>
          <w:tcPr>
            <w:shd w:fill="E2E9EF"/>
          </w:tcPr>
          <w:p>
            <w:pPr>
              <w:pStyle w:val="BodyText"/>
            </w:pPr>
            <w:r>
              <w:rPr>
                <w:b/>
                <w:bCs/>
                <w:color w:val="083152"/>
                <w:sz w:val="20"/>
                <w:szCs w:val="20"/>
              </w:rPr>
              <w:t xml:space="preserve">5</w:t>
            </w:r>
          </w:p>
        </w:tc>
        <w:tc>
          <w:tcPr>
            <w:shd w:fill="E2E9EF"/>
          </w:tcPr>
          <w:p>
            <w:pPr>
              <w:pStyle w:val="BodyText"/>
            </w:pPr>
            <w:r>
              <w:rPr>
                <w:b/>
                <w:bCs/>
                <w:color w:val="083152"/>
                <w:sz w:val="20"/>
                <w:szCs w:val="20"/>
              </w:rPr>
              <w:t xml:space="preserve">6</w:t>
            </w:r>
          </w:p>
        </w:tc>
        <w:tc>
          <w:tcPr>
            <w:shd w:fill="E2E9EF"/>
          </w:tcPr>
          <w:p>
            <w:pPr>
              <w:pStyle w:val="BodyText"/>
            </w:pPr>
            <w:r>
              <w:rPr>
                <w:b/>
                <w:bCs/>
                <w:color w:val="083152"/>
                <w:sz w:val="20"/>
                <w:szCs w:val="20"/>
              </w:rPr>
              <w:t xml:space="preserve">+3 more</w:t>
            </w:r>
          </w:p>
        </w:tc>
      </w:tr>
      <w:tr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Procesy Sprzedaży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— · —</w:t>
            </w:r>
          </w:p>
        </w:tc>
      </w:tr>
      <w:tr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Procesy Marketingowe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— · —</w:t>
            </w:r>
          </w:p>
        </w:tc>
      </w:tr>
      <w:tr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Technologia Procesowa i R&amp;D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— · —</w:t>
            </w:r>
          </w:p>
        </w:tc>
      </w:tr>
      <w:tr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Procesy Zakupowe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— · —</w:t>
            </w:r>
          </w:p>
        </w:tc>
      </w:tr>
      <w:tr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Procesy Logistyczne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— · —</w:t>
            </w:r>
          </w:p>
        </w:tc>
      </w:tr>
      <w:tr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Procesy Produkcyjne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— · —</w:t>
            </w:r>
          </w:p>
        </w:tc>
      </w:tr>
      <w:tr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Procesy Jakości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— · —</w:t>
            </w:r>
          </w:p>
        </w:tc>
      </w:tr>
      <w:tr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Zarządzanie Finansami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— · —</w:t>
            </w:r>
          </w:p>
        </w:tc>
      </w:tr>
      <w:tr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Procesy HR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— · —</w:t>
            </w:r>
          </w:p>
        </w:tc>
      </w:tr>
    </w:tbl>
    <w:p>
      <w:pPr>
        <w:pStyle w:val="Caption"/>
      </w:pPr>
      <w:r>
        <w:t xml:space="preserve">Table 2 — Sekcja do uzupełnienia — limit 30–60 słów.</w:t>
      </w:r>
    </w:p>
    <w:p>
      <w:pPr>
        <w:pStyle w:val="Podpis"/>
      </w:pPr>
      <w:r>
        <w:t xml:space="preserve">Sekcja do uzupełnienia — limit 30–60 słów.</w:t>
      </w:r>
    </w:p>
    <w:p>
      <w:pPr>
        <w:pStyle w:val="Heading2"/>
        <w:pStyle w:val="Heading2"/>
      </w:pPr>
      <w:r>
        <w:t xml:space="preserve">Ocena obszarów</w:t>
      </w:r>
    </w:p>
    <w:p>
      <w:pPr>
        <w:pStyle w:val="Heading3"/>
        <w:pStyle w:val="Heading3"/>
      </w:pPr>
      <w:r>
        <w:t xml:space="preserve">1A Procesy Sprzedaży</w:t>
      </w:r>
    </w:p>
    <w:p>
      <w:pPr>
        <w:pStyle w:val="Sygnatura"/>
      </w:pPr>
      <w:r>
        <w:t xml:space="preserve">Poziom obecny: — (—) · Poziom docelowy: — (—) · Luka: — · Priorytet: — · Dowody: nieocenione</w:t>
      </w:r>
    </w:p>
    <w:p>
      <w:pPr>
        <w:pStyle w:val="Podpis"/>
      </w:pPr>
      <w:r>
        <w:t xml:space="preserve">Sekcja do uzupełnienia — limit 110–170 słów.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stan faktyczny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ocena i wiarygodność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znaczenie dla przedsiębiorstwa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luka i sens poziomu docelowego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najbliższy krok</w:t>
      </w:r>
    </w:p>
    <w:p>
      <w:pPr>
        <w:pStyle w:val="Heading3"/>
        <w:pStyle w:val="Heading3"/>
      </w:pPr>
      <w:r>
        <w:t xml:space="preserve">1B Procesy Marketingowe</w:t>
      </w:r>
    </w:p>
    <w:p>
      <w:pPr>
        <w:pStyle w:val="Sygnatura"/>
      </w:pPr>
      <w:r>
        <w:t xml:space="preserve">Poziom obecny: — (—) · Poziom docelowy: — (—) · Luka: — · Priorytet: — · Dowody: nieocenione</w:t>
      </w:r>
    </w:p>
    <w:p>
      <w:pPr>
        <w:pStyle w:val="Podpis"/>
      </w:pPr>
      <w:r>
        <w:t xml:space="preserve">Sekcja do uzupełnienia — limit 110–170 słów.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stan faktyczny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ocena i wiarygodność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znaczenie dla przedsiębiorstwa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luka i sens poziomu docelowego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najbliższy krok</w:t>
      </w:r>
    </w:p>
    <w:p>
      <w:pPr>
        <w:pStyle w:val="Heading3"/>
        <w:pStyle w:val="Heading3"/>
      </w:pPr>
      <w:r>
        <w:t xml:space="preserve">1C Technologia Procesowa i R&amp;D</w:t>
      </w:r>
    </w:p>
    <w:p>
      <w:pPr>
        <w:pStyle w:val="Sygnatura"/>
      </w:pPr>
      <w:r>
        <w:t xml:space="preserve">Poziom obecny: — (—) · Poziom docelowy: — (—) · Luka: — · Priorytet: — · Dowody: nieocenione</w:t>
      </w:r>
    </w:p>
    <w:p>
      <w:pPr>
        <w:pStyle w:val="Podpis"/>
      </w:pPr>
      <w:r>
        <w:t xml:space="preserve">Sekcja do uzupełnienia — limit 110–170 słów.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stan faktyczny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ocena i wiarygodność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znaczenie dla przedsiębiorstwa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luka i sens poziomu docelowego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najbliższy krok</w:t>
      </w:r>
    </w:p>
    <w:p>
      <w:pPr>
        <w:pStyle w:val="Heading3"/>
        <w:pStyle w:val="Heading3"/>
      </w:pPr>
      <w:r>
        <w:t xml:space="preserve">1D Procesy Zakupowe</w:t>
      </w:r>
    </w:p>
    <w:p>
      <w:pPr>
        <w:pStyle w:val="Sygnatura"/>
      </w:pPr>
      <w:r>
        <w:t xml:space="preserve">Poziom obecny: — (—) · Poziom docelowy: — (—) · Luka: — · Priorytet: — · Dowody: nieocenione</w:t>
      </w:r>
    </w:p>
    <w:p>
      <w:pPr>
        <w:pStyle w:val="Podpis"/>
      </w:pPr>
      <w:r>
        <w:t xml:space="preserve">Sekcja do uzupełnienia — limit 110–170 słów.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stan faktyczny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ocena i wiarygodność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znaczenie dla przedsiębiorstwa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luka i sens poziomu docelowego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najbliższy krok</w:t>
      </w:r>
    </w:p>
    <w:p>
      <w:pPr>
        <w:pStyle w:val="Heading3"/>
        <w:pStyle w:val="Heading3"/>
      </w:pPr>
      <w:r>
        <w:t xml:space="preserve">1E Procesy Logistyczne</w:t>
      </w:r>
    </w:p>
    <w:p>
      <w:pPr>
        <w:pStyle w:val="Sygnatura"/>
      </w:pPr>
      <w:r>
        <w:t xml:space="preserve">Poziom obecny: — (—) · Poziom docelowy: — (—) · Luka: — · Priorytet: — · Dowody: nieocenione</w:t>
      </w:r>
    </w:p>
    <w:p>
      <w:pPr>
        <w:pStyle w:val="Podpis"/>
      </w:pPr>
      <w:r>
        <w:t xml:space="preserve">Sekcja do uzupełnienia — limit 110–170 słów.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stan faktyczny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ocena i wiarygodność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znaczenie dla przedsiębiorstwa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luka i sens poziomu docelowego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najbliższy krok</w:t>
      </w:r>
    </w:p>
    <w:p>
      <w:pPr>
        <w:pStyle w:val="Heading3"/>
        <w:pStyle w:val="Heading3"/>
      </w:pPr>
      <w:r>
        <w:t xml:space="preserve">1F Procesy Produkcyjne</w:t>
      </w:r>
    </w:p>
    <w:p>
      <w:pPr>
        <w:pStyle w:val="Sygnatura"/>
      </w:pPr>
      <w:r>
        <w:t xml:space="preserve">Poziom obecny: — (—) · Poziom docelowy: — (—) · Luka: — · Priorytet: — · Dowody: nieocenione</w:t>
      </w:r>
    </w:p>
    <w:p>
      <w:pPr>
        <w:pStyle w:val="Podpis"/>
      </w:pPr>
      <w:r>
        <w:t xml:space="preserve">Sekcja do uzupełnienia — limit 110–170 słów.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stan faktyczny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ocena i wiarygodność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znaczenie dla przedsiębiorstwa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luka i sens poziomu docelowego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najbliższy krok</w:t>
      </w:r>
    </w:p>
    <w:p>
      <w:pPr>
        <w:pStyle w:val="Heading3"/>
        <w:pStyle w:val="Heading3"/>
      </w:pPr>
      <w:r>
        <w:t xml:space="preserve">1G Procesy Jakości</w:t>
      </w:r>
    </w:p>
    <w:p>
      <w:pPr>
        <w:pStyle w:val="Sygnatura"/>
      </w:pPr>
      <w:r>
        <w:t xml:space="preserve">Poziom obecny: — (—) · Poziom docelowy: — (—) · Luka: — · Priorytet: — · Dowody: nieocenione</w:t>
      </w:r>
    </w:p>
    <w:p>
      <w:pPr>
        <w:pStyle w:val="Podpis"/>
      </w:pPr>
      <w:r>
        <w:t xml:space="preserve">Sekcja do uzupełnienia — limit 110–170 słów.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stan faktyczny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ocena i wiarygodność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znaczenie dla przedsiębiorstwa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luka i sens poziomu docelowego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najbliższy krok</w:t>
      </w:r>
    </w:p>
    <w:p>
      <w:pPr>
        <w:pStyle w:val="Heading3"/>
        <w:pStyle w:val="Heading3"/>
      </w:pPr>
      <w:r>
        <w:t xml:space="preserve">1H Zarządzanie Finansami</w:t>
      </w:r>
    </w:p>
    <w:p>
      <w:pPr>
        <w:pStyle w:val="Sygnatura"/>
      </w:pPr>
      <w:r>
        <w:t xml:space="preserve">Poziom obecny: — (—) · Poziom docelowy: — (—) · Luka: — · Priorytet: — · Dowody: nieocenione</w:t>
      </w:r>
    </w:p>
    <w:p>
      <w:pPr>
        <w:pStyle w:val="Podpis"/>
      </w:pPr>
      <w:r>
        <w:t xml:space="preserve">Sekcja do uzupełnienia — limit 110–170 słów.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stan faktyczny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ocena i wiarygodność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znaczenie dla przedsiębiorstwa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luka i sens poziomu docelowego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najbliższy krok</w:t>
      </w:r>
    </w:p>
    <w:p>
      <w:pPr>
        <w:pStyle w:val="Heading3"/>
        <w:pStyle w:val="Heading3"/>
      </w:pPr>
      <w:r>
        <w:t xml:space="preserve">1I Procesy HR</w:t>
      </w:r>
    </w:p>
    <w:p>
      <w:pPr>
        <w:pStyle w:val="Sygnatura"/>
      </w:pPr>
      <w:r>
        <w:t xml:space="preserve">Poziom obecny: — (—) · Poziom docelowy: — (—) · Luka: — · Priorytet: — · Dowody: nieocenione</w:t>
      </w:r>
    </w:p>
    <w:p>
      <w:pPr>
        <w:pStyle w:val="Podpis"/>
      </w:pPr>
      <w:r>
        <w:t xml:space="preserve">Sekcja do uzupełnienia — limit 110–170 słów.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stan faktyczny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ocena i wiarygodność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znaczenie dla przedsiębiorstwa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luka i sens poziomu docelowego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najbliższy krok</w:t>
      </w:r>
    </w:p>
    <w:p>
      <w:pPr>
        <w:pStyle w:val="Heading2"/>
        <w:pStyle w:val="Heading2"/>
      </w:pPr>
      <w:r>
        <w:t xml:space="preserve">Wnioski rozdziału</w:t>
      </w:r>
    </w:p>
    <w:p>
      <w:pPr>
        <w:pStyle w:val="Podpis"/>
      </w:pPr>
      <w:r>
        <w:t xml:space="preserve">Sekcja do uzupełnienia — limit 180–260 słów.</w:t>
      </w:r>
    </w:p>
    <w:p>
      <w:pPr>
        <w:pStyle w:val="Kicker"/>
      </w:pPr>
      <w:r>
        <w:t xml:space="preserve">LINIA DECYZYJNA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E2E9EF"/>
          </w:tcPr>
          <w:p>
            <w:pPr>
              <w:pStyle w:val="BodyText"/>
            </w:pPr>
            <w:r>
              <w:rPr>
                <w:b/>
                <w:bCs/>
                <w:color w:val="083152"/>
                <w:sz w:val="20"/>
                <w:szCs w:val="20"/>
              </w:rPr>
              <w:t xml:space="preserve">Pole</w:t>
            </w:r>
          </w:p>
        </w:tc>
        <w:tc>
          <w:tcPr>
            <w:shd w:fill="E2E9EF"/>
          </w:tcPr>
          <w:p>
            <w:pPr>
              <w:pStyle w:val="BodyText"/>
            </w:pPr>
            <w:r>
              <w:rPr>
                <w:b/>
                <w:bCs/>
                <w:color w:val="083152"/>
                <w:sz w:val="20"/>
                <w:szCs w:val="20"/>
              </w:rPr>
              <w:t xml:space="preserve">Treść</w:t>
            </w:r>
          </w:p>
        </w:tc>
      </w:tr>
      <w:tr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Kierunek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Sekcja do uzupełnienia — limit 180–260 słów.</w:t>
            </w:r>
          </w:p>
        </w:tc>
      </w:tr>
      <w:tr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Priorytet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Sekcja do uzupełnienia — limit 180–260 słów.</w:t>
            </w:r>
          </w:p>
        </w:tc>
      </w:tr>
      <w:tr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Horyzont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Sekcja do uzupełnienia — limit 180–260 słów.</w:t>
            </w:r>
          </w:p>
        </w:tc>
      </w:tr>
      <w:tr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Warunek sukcesu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Sekcja do uzupełnienia — limit 180–260 słów.</w:t>
            </w:r>
          </w:p>
        </w:tc>
      </w:tr>
    </w:tbl>
    <w:p>
      <w:pPr>
        <w:pStyle w:val="Caption"/>
      </w:pPr>
      <w:r>
        <w:t xml:space="preserve">Table 3</w:t>
      </w:r>
    </w:p>
    <w:p>
      <w:pPr>
        <w:pStyle w:val="Kicker"/>
        <w:keepNext/>
        <w:pageBreakBefore/>
      </w:pPr>
      <w:r>
        <w:t xml:space="preserve">Rozdział 2 z 7 · oś 2 struktury DRD</w:t>
      </w:r>
    </w:p>
    <w:p>
      <w:pPr>
        <w:pStyle w:val="Heading1"/>
        <w:pStyle w:val="Heading1"/>
        <w:keepNext/>
      </w:pPr>
      <w:r>
        <w:t xml:space="preserve">2. Produkty Cyfrowe</w:t>
      </w:r>
    </w:p>
    <w:p>
      <w:pPr>
        <w:pStyle w:val="Podpis"/>
      </w:pPr>
      <w:r>
        <w:t xml:space="preserve">Oś nie została oceniona. Sekcja do uzupełnienia — limit 120–180 słów.</w:t>
      </w:r>
    </w:p>
    <w:p>
      <w:pPr>
        <w:pStyle w:val="Heading2"/>
        <w:pStyle w:val="Heading2"/>
      </w:pPr>
      <w:r>
        <w:t xml:space="preserve">Matryca poziomów dojrzałości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shd w:fill="E2E9EF"/>
          </w:tcPr>
          <w:p>
            <w:pPr>
              <w:pStyle w:val="BodyText"/>
            </w:pPr>
            <w:r>
              <w:rPr>
                <w:b/>
                <w:bCs/>
                <w:color w:val="083152"/>
                <w:sz w:val="20"/>
                <w:szCs w:val="20"/>
              </w:rPr>
              <w:t xml:space="preserve">Obszar</w:t>
            </w:r>
          </w:p>
        </w:tc>
        <w:tc>
          <w:tcPr>
            <w:shd w:fill="E2E9EF"/>
          </w:tcPr>
          <w:p>
            <w:pPr>
              <w:pStyle w:val="BodyText"/>
            </w:pPr>
            <w:r>
              <w:rPr>
                <w:b/>
                <w:bCs/>
                <w:color w:val="083152"/>
                <w:sz w:val="20"/>
                <w:szCs w:val="20"/>
              </w:rPr>
              <w:t xml:space="preserve">1</w:t>
            </w:r>
          </w:p>
        </w:tc>
        <w:tc>
          <w:tcPr>
            <w:shd w:fill="E2E9EF"/>
          </w:tcPr>
          <w:p>
            <w:pPr>
              <w:pStyle w:val="BodyText"/>
            </w:pPr>
            <w:r>
              <w:rPr>
                <w:b/>
                <w:bCs/>
                <w:color w:val="083152"/>
                <w:sz w:val="20"/>
                <w:szCs w:val="20"/>
              </w:rPr>
              <w:t xml:space="preserve">2</w:t>
            </w:r>
          </w:p>
        </w:tc>
        <w:tc>
          <w:tcPr>
            <w:shd w:fill="E2E9EF"/>
          </w:tcPr>
          <w:p>
            <w:pPr>
              <w:pStyle w:val="BodyText"/>
            </w:pPr>
            <w:r>
              <w:rPr>
                <w:b/>
                <w:bCs/>
                <w:color w:val="083152"/>
                <w:sz w:val="20"/>
                <w:szCs w:val="20"/>
              </w:rPr>
              <w:t xml:space="preserve">3</w:t>
            </w:r>
          </w:p>
        </w:tc>
        <w:tc>
          <w:tcPr>
            <w:shd w:fill="E2E9EF"/>
          </w:tcPr>
          <w:p>
            <w:pPr>
              <w:pStyle w:val="BodyText"/>
            </w:pPr>
            <w:r>
              <w:rPr>
                <w:b/>
                <w:bCs/>
                <w:color w:val="083152"/>
                <w:sz w:val="20"/>
                <w:szCs w:val="20"/>
              </w:rPr>
              <w:t xml:space="preserve">4</w:t>
            </w:r>
          </w:p>
        </w:tc>
        <w:tc>
          <w:tcPr>
            <w:shd w:fill="E2E9EF"/>
          </w:tcPr>
          <w:p>
            <w:pPr>
              <w:pStyle w:val="BodyText"/>
            </w:pPr>
            <w:r>
              <w:rPr>
                <w:b/>
                <w:bCs/>
                <w:color w:val="083152"/>
                <w:sz w:val="20"/>
                <w:szCs w:val="20"/>
              </w:rPr>
              <w:t xml:space="preserve">5</w:t>
            </w:r>
          </w:p>
        </w:tc>
        <w:tc>
          <w:tcPr>
            <w:shd w:fill="E2E9EF"/>
          </w:tcPr>
          <w:p>
            <w:pPr>
              <w:pStyle w:val="BodyText"/>
            </w:pPr>
            <w:r>
              <w:rPr>
                <w:b/>
                <w:bCs/>
                <w:color w:val="083152"/>
                <w:sz w:val="20"/>
                <w:szCs w:val="20"/>
              </w:rPr>
              <w:t xml:space="preserve">Luka</w:t>
            </w:r>
          </w:p>
        </w:tc>
        <w:tc>
          <w:tcPr>
            <w:shd w:fill="E2E9EF"/>
          </w:tcPr>
          <w:p>
            <w:pPr>
              <w:pStyle w:val="BodyText"/>
            </w:pPr>
            <w:r>
              <w:rPr>
                <w:b/>
                <w:bCs/>
                <w:color w:val="083152"/>
                <w:sz w:val="20"/>
                <w:szCs w:val="20"/>
              </w:rPr>
              <w:t xml:space="preserve">Priorytet</w:t>
            </w:r>
          </w:p>
        </w:tc>
      </w:tr>
      <w:tr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Produkty Cyfrowe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—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Produkty Społecznościowe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—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Produkty ICT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—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Dopasowanie Produktu do Oczekiwań Klienta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—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Skalowalność Produktu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—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—</w:t>
            </w:r>
          </w:p>
        </w:tc>
      </w:tr>
    </w:tbl>
    <w:p>
      <w:pPr>
        <w:pStyle w:val="Caption"/>
      </w:pPr>
      <w:r>
        <w:t xml:space="preserve">Table 4 — Sekcja do uzupełnienia — limit 30–60 słów.</w:t>
      </w:r>
    </w:p>
    <w:p>
      <w:pPr>
        <w:pStyle w:val="Podpis"/>
      </w:pPr>
      <w:r>
        <w:t xml:space="preserve">Sekcja do uzupełnienia — limit 30–60 słów.</w:t>
      </w:r>
    </w:p>
    <w:p>
      <w:pPr>
        <w:pStyle w:val="Heading2"/>
        <w:pStyle w:val="Heading2"/>
      </w:pPr>
      <w:r>
        <w:t xml:space="preserve">Ocena obszarów</w:t>
      </w:r>
    </w:p>
    <w:p>
      <w:pPr>
        <w:pStyle w:val="Heading3"/>
        <w:pStyle w:val="Heading3"/>
      </w:pPr>
      <w:r>
        <w:t xml:space="preserve">2A Produkty Cyfrowe</w:t>
      </w:r>
    </w:p>
    <w:p>
      <w:pPr>
        <w:pStyle w:val="Sygnatura"/>
      </w:pPr>
      <w:r>
        <w:t xml:space="preserve">Poziom obecny: — (—) · Poziom docelowy: — (—) · Luka: — · Priorytet: — · Dowody: nieocenione</w:t>
      </w:r>
    </w:p>
    <w:p>
      <w:pPr>
        <w:pStyle w:val="Podpis"/>
      </w:pPr>
      <w:r>
        <w:t xml:space="preserve">Sekcja do uzupełnienia — limit 110–170 słów.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stan faktyczny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ocena i wiarygodność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znaczenie dla przedsiębiorstwa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luka i sens poziomu docelowego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najbliższy krok</w:t>
      </w:r>
    </w:p>
    <w:p>
      <w:pPr>
        <w:pStyle w:val="Heading3"/>
        <w:pStyle w:val="Heading3"/>
      </w:pPr>
      <w:r>
        <w:t xml:space="preserve">2B Produkty Społecznościowe</w:t>
      </w:r>
    </w:p>
    <w:p>
      <w:pPr>
        <w:pStyle w:val="Sygnatura"/>
      </w:pPr>
      <w:r>
        <w:t xml:space="preserve">Poziom obecny: — (—) · Poziom docelowy: — (—) · Luka: — · Priorytet: — · Dowody: nieocenione</w:t>
      </w:r>
    </w:p>
    <w:p>
      <w:pPr>
        <w:pStyle w:val="Podpis"/>
      </w:pPr>
      <w:r>
        <w:t xml:space="preserve">Sekcja do uzupełnienia — limit 110–170 słów.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stan faktyczny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ocena i wiarygodność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znaczenie dla przedsiębiorstwa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luka i sens poziomu docelowego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najbliższy krok</w:t>
      </w:r>
    </w:p>
    <w:p>
      <w:pPr>
        <w:pStyle w:val="Heading3"/>
        <w:pStyle w:val="Heading3"/>
      </w:pPr>
      <w:r>
        <w:t xml:space="preserve">2C Produkty ICT</w:t>
      </w:r>
    </w:p>
    <w:p>
      <w:pPr>
        <w:pStyle w:val="Sygnatura"/>
      </w:pPr>
      <w:r>
        <w:t xml:space="preserve">Poziom obecny: — (—) · Poziom docelowy: — (—) · Luka: — · Priorytet: — · Dowody: nieocenione</w:t>
      </w:r>
    </w:p>
    <w:p>
      <w:pPr>
        <w:pStyle w:val="Podpis"/>
      </w:pPr>
      <w:r>
        <w:t xml:space="preserve">Sekcja do uzupełnienia — limit 110–170 słów.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stan faktyczny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ocena i wiarygodność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znaczenie dla przedsiębiorstwa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luka i sens poziomu docelowego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najbliższy krok</w:t>
      </w:r>
    </w:p>
    <w:p>
      <w:pPr>
        <w:pStyle w:val="Heading3"/>
        <w:pStyle w:val="Heading3"/>
      </w:pPr>
      <w:r>
        <w:t xml:space="preserve">2D Dopasowanie Produktu do Oczekiwań Klienta</w:t>
      </w:r>
    </w:p>
    <w:p>
      <w:pPr>
        <w:pStyle w:val="Sygnatura"/>
      </w:pPr>
      <w:r>
        <w:t xml:space="preserve">Poziom obecny: — (—) · Poziom docelowy: — (—) · Luka: — · Priorytet: — · Dowody: nieocenione</w:t>
      </w:r>
    </w:p>
    <w:p>
      <w:pPr>
        <w:pStyle w:val="Podpis"/>
      </w:pPr>
      <w:r>
        <w:t xml:space="preserve">Sekcja do uzupełnienia — limit 110–170 słów.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stan faktyczny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ocena i wiarygodność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znaczenie dla przedsiębiorstwa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luka i sens poziomu docelowego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najbliższy krok</w:t>
      </w:r>
    </w:p>
    <w:p>
      <w:pPr>
        <w:pStyle w:val="Heading3"/>
        <w:pStyle w:val="Heading3"/>
      </w:pPr>
      <w:r>
        <w:t xml:space="preserve">2E Skalowalność Produktu</w:t>
      </w:r>
    </w:p>
    <w:p>
      <w:pPr>
        <w:pStyle w:val="Sygnatura"/>
      </w:pPr>
      <w:r>
        <w:t xml:space="preserve">Poziom obecny: — (—) · Poziom docelowy: — (—) · Luka: — · Priorytet: — · Dowody: nieocenione</w:t>
      </w:r>
    </w:p>
    <w:p>
      <w:pPr>
        <w:pStyle w:val="Podpis"/>
      </w:pPr>
      <w:r>
        <w:t xml:space="preserve">Sekcja do uzupełnienia — limit 110–170 słów.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stan faktyczny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ocena i wiarygodność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znaczenie dla przedsiębiorstwa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luka i sens poziomu docelowego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najbliższy krok</w:t>
      </w:r>
    </w:p>
    <w:p>
      <w:pPr>
        <w:pStyle w:val="Heading2"/>
        <w:pStyle w:val="Heading2"/>
      </w:pPr>
      <w:r>
        <w:t xml:space="preserve">Wnioski rozdziału</w:t>
      </w:r>
    </w:p>
    <w:p>
      <w:pPr>
        <w:pStyle w:val="Podpis"/>
      </w:pPr>
      <w:r>
        <w:t xml:space="preserve">Sekcja do uzupełnienia — limit 180–260 słów.</w:t>
      </w:r>
    </w:p>
    <w:p>
      <w:pPr>
        <w:pStyle w:val="Kicker"/>
      </w:pPr>
      <w:r>
        <w:t xml:space="preserve">LINIA DECYZYJNA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E2E9EF"/>
          </w:tcPr>
          <w:p>
            <w:pPr>
              <w:pStyle w:val="BodyText"/>
            </w:pPr>
            <w:r>
              <w:rPr>
                <w:b/>
                <w:bCs/>
                <w:color w:val="083152"/>
                <w:sz w:val="20"/>
                <w:szCs w:val="20"/>
              </w:rPr>
              <w:t xml:space="preserve">Pole</w:t>
            </w:r>
          </w:p>
        </w:tc>
        <w:tc>
          <w:tcPr>
            <w:shd w:fill="E2E9EF"/>
          </w:tcPr>
          <w:p>
            <w:pPr>
              <w:pStyle w:val="BodyText"/>
            </w:pPr>
            <w:r>
              <w:rPr>
                <w:b/>
                <w:bCs/>
                <w:color w:val="083152"/>
                <w:sz w:val="20"/>
                <w:szCs w:val="20"/>
              </w:rPr>
              <w:t xml:space="preserve">Treść</w:t>
            </w:r>
          </w:p>
        </w:tc>
      </w:tr>
      <w:tr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Kierunek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Sekcja do uzupełnienia — limit 180–260 słów.</w:t>
            </w:r>
          </w:p>
        </w:tc>
      </w:tr>
      <w:tr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Priorytet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Sekcja do uzupełnienia — limit 180–260 słów.</w:t>
            </w:r>
          </w:p>
        </w:tc>
      </w:tr>
      <w:tr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Horyzont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Sekcja do uzupełnienia — limit 180–260 słów.</w:t>
            </w:r>
          </w:p>
        </w:tc>
      </w:tr>
      <w:tr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Warunek sukcesu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Sekcja do uzupełnienia — limit 180–260 słów.</w:t>
            </w:r>
          </w:p>
        </w:tc>
      </w:tr>
    </w:tbl>
    <w:p>
      <w:pPr>
        <w:pStyle w:val="Caption"/>
      </w:pPr>
      <w:r>
        <w:t xml:space="preserve">Table 5</w:t>
      </w:r>
    </w:p>
    <w:p>
      <w:pPr>
        <w:pStyle w:val="Kicker"/>
        <w:keepNext/>
        <w:pageBreakBefore/>
      </w:pPr>
      <w:r>
        <w:t xml:space="preserve">Rozdział 3 z 7 · oś 3 struktury DRD</w:t>
      </w:r>
    </w:p>
    <w:p>
      <w:pPr>
        <w:pStyle w:val="Heading1"/>
        <w:pStyle w:val="Heading1"/>
        <w:keepNext/>
      </w:pPr>
      <w:r>
        <w:t xml:space="preserve">3. Cyfrowe Modele Biznesowe</w:t>
      </w:r>
    </w:p>
    <w:p>
      <w:pPr>
        <w:pStyle w:val="Podpis"/>
      </w:pPr>
      <w:r>
        <w:t xml:space="preserve">Oś nie została oceniona. Sekcja do uzupełnienia — limit 120–180 słów.</w:t>
      </w:r>
    </w:p>
    <w:p>
      <w:pPr>
        <w:pStyle w:val="Heading2"/>
        <w:pStyle w:val="Heading2"/>
      </w:pPr>
      <w:r>
        <w:t xml:space="preserve">Matryca poziomów dojrzałości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shd w:fill="E2E9EF"/>
          </w:tcPr>
          <w:p>
            <w:pPr>
              <w:pStyle w:val="BodyText"/>
            </w:pPr>
            <w:r>
              <w:rPr>
                <w:b/>
                <w:bCs/>
                <w:color w:val="083152"/>
                <w:sz w:val="20"/>
                <w:szCs w:val="20"/>
              </w:rPr>
              <w:t xml:space="preserve">Obszar</w:t>
            </w:r>
          </w:p>
        </w:tc>
        <w:tc>
          <w:tcPr>
            <w:shd w:fill="E2E9EF"/>
          </w:tcPr>
          <w:p>
            <w:pPr>
              <w:pStyle w:val="BodyText"/>
            </w:pPr>
            <w:r>
              <w:rPr>
                <w:b/>
                <w:bCs/>
                <w:color w:val="083152"/>
                <w:sz w:val="20"/>
                <w:szCs w:val="20"/>
              </w:rPr>
              <w:t xml:space="preserve">1</w:t>
            </w:r>
          </w:p>
        </w:tc>
        <w:tc>
          <w:tcPr>
            <w:shd w:fill="E2E9EF"/>
          </w:tcPr>
          <w:p>
            <w:pPr>
              <w:pStyle w:val="BodyText"/>
            </w:pPr>
            <w:r>
              <w:rPr>
                <w:b/>
                <w:bCs/>
                <w:color w:val="083152"/>
                <w:sz w:val="20"/>
                <w:szCs w:val="20"/>
              </w:rPr>
              <w:t xml:space="preserve">2</w:t>
            </w:r>
          </w:p>
        </w:tc>
        <w:tc>
          <w:tcPr>
            <w:shd w:fill="E2E9EF"/>
          </w:tcPr>
          <w:p>
            <w:pPr>
              <w:pStyle w:val="BodyText"/>
            </w:pPr>
            <w:r>
              <w:rPr>
                <w:b/>
                <w:bCs/>
                <w:color w:val="083152"/>
                <w:sz w:val="20"/>
                <w:szCs w:val="20"/>
              </w:rPr>
              <w:t xml:space="preserve">3</w:t>
            </w:r>
          </w:p>
        </w:tc>
        <w:tc>
          <w:tcPr>
            <w:shd w:fill="E2E9EF"/>
          </w:tcPr>
          <w:p>
            <w:pPr>
              <w:pStyle w:val="BodyText"/>
            </w:pPr>
            <w:r>
              <w:rPr>
                <w:b/>
                <w:bCs/>
                <w:color w:val="083152"/>
                <w:sz w:val="20"/>
                <w:szCs w:val="20"/>
              </w:rPr>
              <w:t xml:space="preserve">4</w:t>
            </w:r>
          </w:p>
        </w:tc>
        <w:tc>
          <w:tcPr>
            <w:shd w:fill="E2E9EF"/>
          </w:tcPr>
          <w:p>
            <w:pPr>
              <w:pStyle w:val="BodyText"/>
            </w:pPr>
            <w:r>
              <w:rPr>
                <w:b/>
                <w:bCs/>
                <w:color w:val="083152"/>
                <w:sz w:val="20"/>
                <w:szCs w:val="20"/>
              </w:rPr>
              <w:t xml:space="preserve">5</w:t>
            </w:r>
          </w:p>
        </w:tc>
        <w:tc>
          <w:tcPr>
            <w:shd w:fill="E2E9EF"/>
          </w:tcPr>
          <w:p>
            <w:pPr>
              <w:pStyle w:val="BodyText"/>
            </w:pPr>
            <w:r>
              <w:rPr>
                <w:b/>
                <w:bCs/>
                <w:color w:val="083152"/>
                <w:sz w:val="20"/>
                <w:szCs w:val="20"/>
              </w:rPr>
              <w:t xml:space="preserve">Luka</w:t>
            </w:r>
          </w:p>
        </w:tc>
        <w:tc>
          <w:tcPr>
            <w:shd w:fill="E2E9EF"/>
          </w:tcPr>
          <w:p>
            <w:pPr>
              <w:pStyle w:val="BodyText"/>
            </w:pPr>
            <w:r>
              <w:rPr>
                <w:b/>
                <w:bCs/>
                <w:color w:val="083152"/>
                <w:sz w:val="20"/>
                <w:szCs w:val="20"/>
              </w:rPr>
              <w:t xml:space="preserve">Priorytet</w:t>
            </w:r>
          </w:p>
        </w:tc>
      </w:tr>
      <w:tr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Modele E-commerce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—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Rozwiązania Platformowe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—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Model As-a-Service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—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Modele Współdzielenia Zasobów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—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Modele Monetyzacji Danych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—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—</w:t>
            </w:r>
          </w:p>
        </w:tc>
      </w:tr>
    </w:tbl>
    <w:p>
      <w:pPr>
        <w:pStyle w:val="Caption"/>
      </w:pPr>
      <w:r>
        <w:t xml:space="preserve">Table 6 — Sekcja do uzupełnienia — limit 30–60 słów.</w:t>
      </w:r>
    </w:p>
    <w:p>
      <w:pPr>
        <w:pStyle w:val="Podpis"/>
      </w:pPr>
      <w:r>
        <w:t xml:space="preserve">Sekcja do uzupełnienia — limit 30–60 słów.</w:t>
      </w:r>
    </w:p>
    <w:p>
      <w:pPr>
        <w:pStyle w:val="Heading2"/>
        <w:pStyle w:val="Heading2"/>
      </w:pPr>
      <w:r>
        <w:t xml:space="preserve">Ocena obszarów</w:t>
      </w:r>
    </w:p>
    <w:p>
      <w:pPr>
        <w:pStyle w:val="Heading3"/>
        <w:pStyle w:val="Heading3"/>
      </w:pPr>
      <w:r>
        <w:t xml:space="preserve">3A Modele E-commerce</w:t>
      </w:r>
    </w:p>
    <w:p>
      <w:pPr>
        <w:pStyle w:val="Sygnatura"/>
      </w:pPr>
      <w:r>
        <w:t xml:space="preserve">Poziom obecny: — (—) · Poziom docelowy: — (—) · Luka: — · Priorytet: — · Dowody: nieocenione</w:t>
      </w:r>
    </w:p>
    <w:p>
      <w:pPr>
        <w:pStyle w:val="Podpis"/>
      </w:pPr>
      <w:r>
        <w:t xml:space="preserve">Sekcja do uzupełnienia — limit 110–170 słów.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stan faktyczny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ocena i wiarygodność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znaczenie dla przedsiębiorstwa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luka i sens poziomu docelowego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najbliższy krok</w:t>
      </w:r>
    </w:p>
    <w:p>
      <w:pPr>
        <w:pStyle w:val="Heading3"/>
        <w:pStyle w:val="Heading3"/>
      </w:pPr>
      <w:r>
        <w:t xml:space="preserve">3B Rozwiązania Platformowe</w:t>
      </w:r>
    </w:p>
    <w:p>
      <w:pPr>
        <w:pStyle w:val="Sygnatura"/>
      </w:pPr>
      <w:r>
        <w:t xml:space="preserve">Poziom obecny: — (—) · Poziom docelowy: — (—) · Luka: — · Priorytet: — · Dowody: nieocenione</w:t>
      </w:r>
    </w:p>
    <w:p>
      <w:pPr>
        <w:pStyle w:val="Podpis"/>
      </w:pPr>
      <w:r>
        <w:t xml:space="preserve">Sekcja do uzupełnienia — limit 110–170 słów.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stan faktyczny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ocena i wiarygodność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znaczenie dla przedsiębiorstwa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luka i sens poziomu docelowego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najbliższy krok</w:t>
      </w:r>
    </w:p>
    <w:p>
      <w:pPr>
        <w:pStyle w:val="Heading3"/>
        <w:pStyle w:val="Heading3"/>
      </w:pPr>
      <w:r>
        <w:t xml:space="preserve">3C Model As-a-Service</w:t>
      </w:r>
    </w:p>
    <w:p>
      <w:pPr>
        <w:pStyle w:val="Sygnatura"/>
      </w:pPr>
      <w:r>
        <w:t xml:space="preserve">Poziom obecny: — (—) · Poziom docelowy: — (—) · Luka: — · Priorytet: — · Dowody: nieocenione</w:t>
      </w:r>
    </w:p>
    <w:p>
      <w:pPr>
        <w:pStyle w:val="Podpis"/>
      </w:pPr>
      <w:r>
        <w:t xml:space="preserve">Sekcja do uzupełnienia — limit 110–170 słów.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stan faktyczny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ocena i wiarygodność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znaczenie dla przedsiębiorstwa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luka i sens poziomu docelowego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najbliższy krok</w:t>
      </w:r>
    </w:p>
    <w:p>
      <w:pPr>
        <w:pStyle w:val="Heading3"/>
        <w:pStyle w:val="Heading3"/>
      </w:pPr>
      <w:r>
        <w:t xml:space="preserve">3D Modele Współdzielenia Zasobów</w:t>
      </w:r>
    </w:p>
    <w:p>
      <w:pPr>
        <w:pStyle w:val="Sygnatura"/>
      </w:pPr>
      <w:r>
        <w:t xml:space="preserve">Poziom obecny: — (—) · Poziom docelowy: — (—) · Luka: — · Priorytet: — · Dowody: nieocenione</w:t>
      </w:r>
    </w:p>
    <w:p>
      <w:pPr>
        <w:pStyle w:val="Podpis"/>
      </w:pPr>
      <w:r>
        <w:t xml:space="preserve">Sekcja do uzupełnienia — limit 110–170 słów.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stan faktyczny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ocena i wiarygodność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znaczenie dla przedsiębiorstwa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luka i sens poziomu docelowego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najbliższy krok</w:t>
      </w:r>
    </w:p>
    <w:p>
      <w:pPr>
        <w:pStyle w:val="Heading3"/>
        <w:pStyle w:val="Heading3"/>
      </w:pPr>
      <w:r>
        <w:t xml:space="preserve">3E Modele Monetyzacji Danych</w:t>
      </w:r>
    </w:p>
    <w:p>
      <w:pPr>
        <w:pStyle w:val="Sygnatura"/>
      </w:pPr>
      <w:r>
        <w:t xml:space="preserve">Poziom obecny: — (—) · Poziom docelowy: — (—) · Luka: — · Priorytet: — · Dowody: nieocenione</w:t>
      </w:r>
    </w:p>
    <w:p>
      <w:pPr>
        <w:pStyle w:val="Podpis"/>
      </w:pPr>
      <w:r>
        <w:t xml:space="preserve">Sekcja do uzupełnienia — limit 110–170 słów.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stan faktyczny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ocena i wiarygodność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znaczenie dla przedsiębiorstwa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luka i sens poziomu docelowego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najbliższy krok</w:t>
      </w:r>
    </w:p>
    <w:p>
      <w:pPr>
        <w:pStyle w:val="Heading2"/>
        <w:pStyle w:val="Heading2"/>
      </w:pPr>
      <w:r>
        <w:t xml:space="preserve">Wnioski rozdziału</w:t>
      </w:r>
    </w:p>
    <w:p>
      <w:pPr>
        <w:pStyle w:val="Podpis"/>
      </w:pPr>
      <w:r>
        <w:t xml:space="preserve">Sekcja do uzupełnienia — limit 180–260 słów.</w:t>
      </w:r>
    </w:p>
    <w:p>
      <w:pPr>
        <w:pStyle w:val="Kicker"/>
      </w:pPr>
      <w:r>
        <w:t xml:space="preserve">LINIA DECYZYJNA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E2E9EF"/>
          </w:tcPr>
          <w:p>
            <w:pPr>
              <w:pStyle w:val="BodyText"/>
            </w:pPr>
            <w:r>
              <w:rPr>
                <w:b/>
                <w:bCs/>
                <w:color w:val="083152"/>
                <w:sz w:val="20"/>
                <w:szCs w:val="20"/>
              </w:rPr>
              <w:t xml:space="preserve">Pole</w:t>
            </w:r>
          </w:p>
        </w:tc>
        <w:tc>
          <w:tcPr>
            <w:shd w:fill="E2E9EF"/>
          </w:tcPr>
          <w:p>
            <w:pPr>
              <w:pStyle w:val="BodyText"/>
            </w:pPr>
            <w:r>
              <w:rPr>
                <w:b/>
                <w:bCs/>
                <w:color w:val="083152"/>
                <w:sz w:val="20"/>
                <w:szCs w:val="20"/>
              </w:rPr>
              <w:t xml:space="preserve">Treść</w:t>
            </w:r>
          </w:p>
        </w:tc>
      </w:tr>
      <w:tr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Kierunek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Sekcja do uzupełnienia — limit 180–260 słów.</w:t>
            </w:r>
          </w:p>
        </w:tc>
      </w:tr>
      <w:tr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Priorytet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Sekcja do uzupełnienia — limit 180–260 słów.</w:t>
            </w:r>
          </w:p>
        </w:tc>
      </w:tr>
      <w:tr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Horyzont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Sekcja do uzupełnienia — limit 180–260 słów.</w:t>
            </w:r>
          </w:p>
        </w:tc>
      </w:tr>
      <w:tr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Warunek sukcesu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Sekcja do uzupełnienia — limit 180–260 słów.</w:t>
            </w:r>
          </w:p>
        </w:tc>
      </w:tr>
    </w:tbl>
    <w:p>
      <w:pPr>
        <w:pStyle w:val="Caption"/>
      </w:pPr>
      <w:r>
        <w:t xml:space="preserve">Table 7</w:t>
      </w:r>
    </w:p>
    <w:p>
      <w:pPr>
        <w:pStyle w:val="Kicker"/>
        <w:keepNext/>
        <w:pageBreakBefore/>
      </w:pPr>
      <w:r>
        <w:t xml:space="preserve">Rozdział 4 z 7 · oś 4 struktury DRD</w:t>
      </w:r>
    </w:p>
    <w:p>
      <w:pPr>
        <w:pStyle w:val="Heading1"/>
        <w:pStyle w:val="Heading1"/>
        <w:keepNext/>
      </w:pPr>
      <w:r>
        <w:t xml:space="preserve">4. Zarządzanie Danymi</w:t>
      </w:r>
    </w:p>
    <w:p>
      <w:pPr>
        <w:pStyle w:val="Podpis"/>
      </w:pPr>
      <w:r>
        <w:t xml:space="preserve">Oś nie została oceniona. Sekcja do uzupełnienia — limit 120–180 słów.</w:t>
      </w:r>
    </w:p>
    <w:p>
      <w:pPr>
        <w:pStyle w:val="Heading2"/>
        <w:pStyle w:val="Heading2"/>
      </w:pPr>
      <w:r>
        <w:t xml:space="preserve">Matryca poziomów dojrzałości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shd w:fill="E2E9EF"/>
          </w:tcPr>
          <w:p>
            <w:pPr>
              <w:pStyle w:val="BodyText"/>
            </w:pPr>
            <w:r>
              <w:rPr>
                <w:b/>
                <w:bCs/>
                <w:color w:val="083152"/>
                <w:sz w:val="20"/>
                <w:szCs w:val="20"/>
              </w:rPr>
              <w:t xml:space="preserve">Obszar</w:t>
            </w:r>
          </w:p>
        </w:tc>
        <w:tc>
          <w:tcPr>
            <w:shd w:fill="E2E9EF"/>
          </w:tcPr>
          <w:p>
            <w:pPr>
              <w:pStyle w:val="BodyText"/>
            </w:pPr>
            <w:r>
              <w:rPr>
                <w:b/>
                <w:bCs/>
                <w:color w:val="083152"/>
                <w:sz w:val="20"/>
                <w:szCs w:val="20"/>
              </w:rPr>
              <w:t xml:space="preserve">1</w:t>
            </w:r>
          </w:p>
        </w:tc>
        <w:tc>
          <w:tcPr>
            <w:shd w:fill="E2E9EF"/>
          </w:tcPr>
          <w:p>
            <w:pPr>
              <w:pStyle w:val="BodyText"/>
            </w:pPr>
            <w:r>
              <w:rPr>
                <w:b/>
                <w:bCs/>
                <w:color w:val="083152"/>
                <w:sz w:val="20"/>
                <w:szCs w:val="20"/>
              </w:rPr>
              <w:t xml:space="preserve">2</w:t>
            </w:r>
          </w:p>
        </w:tc>
        <w:tc>
          <w:tcPr>
            <w:shd w:fill="E2E9EF"/>
          </w:tcPr>
          <w:p>
            <w:pPr>
              <w:pStyle w:val="BodyText"/>
            </w:pPr>
            <w:r>
              <w:rPr>
                <w:b/>
                <w:bCs/>
                <w:color w:val="083152"/>
                <w:sz w:val="20"/>
                <w:szCs w:val="20"/>
              </w:rPr>
              <w:t xml:space="preserve">3</w:t>
            </w:r>
          </w:p>
        </w:tc>
        <w:tc>
          <w:tcPr>
            <w:shd w:fill="E2E9EF"/>
          </w:tcPr>
          <w:p>
            <w:pPr>
              <w:pStyle w:val="BodyText"/>
            </w:pPr>
            <w:r>
              <w:rPr>
                <w:b/>
                <w:bCs/>
                <w:color w:val="083152"/>
                <w:sz w:val="20"/>
                <w:szCs w:val="20"/>
              </w:rPr>
              <w:t xml:space="preserve">4</w:t>
            </w:r>
          </w:p>
        </w:tc>
        <w:tc>
          <w:tcPr>
            <w:shd w:fill="E2E9EF"/>
          </w:tcPr>
          <w:p>
            <w:pPr>
              <w:pStyle w:val="BodyText"/>
            </w:pPr>
            <w:r>
              <w:rPr>
                <w:b/>
                <w:bCs/>
                <w:color w:val="083152"/>
                <w:sz w:val="20"/>
                <w:szCs w:val="20"/>
              </w:rPr>
              <w:t xml:space="preserve">5</w:t>
            </w:r>
          </w:p>
        </w:tc>
        <w:tc>
          <w:tcPr>
            <w:shd w:fill="E2E9EF"/>
          </w:tcPr>
          <w:p>
            <w:pPr>
              <w:pStyle w:val="BodyText"/>
            </w:pPr>
            <w:r>
              <w:rPr>
                <w:b/>
                <w:bCs/>
                <w:color w:val="083152"/>
                <w:sz w:val="20"/>
                <w:szCs w:val="20"/>
              </w:rPr>
              <w:t xml:space="preserve">6</w:t>
            </w:r>
          </w:p>
        </w:tc>
        <w:tc>
          <w:tcPr>
            <w:shd w:fill="E2E9EF"/>
          </w:tcPr>
          <w:p>
            <w:pPr>
              <w:pStyle w:val="BodyText"/>
            </w:pPr>
            <w:r>
              <w:rPr>
                <w:b/>
                <w:bCs/>
                <w:color w:val="083152"/>
                <w:sz w:val="20"/>
                <w:szCs w:val="20"/>
              </w:rPr>
              <w:t xml:space="preserve">+3 more</w:t>
            </w:r>
          </w:p>
        </w:tc>
      </w:tr>
      <w:tr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Zbieranie Danych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— · —</w:t>
            </w:r>
          </w:p>
        </w:tc>
      </w:tr>
      <w:tr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Metodologia Przechowywania Danych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— · —</w:t>
            </w:r>
          </w:p>
        </w:tc>
      </w:tr>
      <w:tr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Komunikacja Danych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— · —</w:t>
            </w:r>
          </w:p>
        </w:tc>
      </w:tr>
      <w:tr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Analiza Big Data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— · —</w:t>
            </w:r>
          </w:p>
        </w:tc>
      </w:tr>
      <w:tr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Przetwarzanie Danych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— · —</w:t>
            </w:r>
          </w:p>
        </w:tc>
      </w:tr>
    </w:tbl>
    <w:p>
      <w:pPr>
        <w:pStyle w:val="Caption"/>
      </w:pPr>
      <w:r>
        <w:t xml:space="preserve">Table 8 — Sekcja do uzupełnienia — limit 30–60 słów.</w:t>
      </w:r>
    </w:p>
    <w:p>
      <w:pPr>
        <w:pStyle w:val="Podpis"/>
      </w:pPr>
      <w:r>
        <w:t xml:space="preserve">Sekcja do uzupełnienia — limit 30–60 słów.</w:t>
      </w:r>
    </w:p>
    <w:p>
      <w:pPr>
        <w:pStyle w:val="Heading2"/>
        <w:pStyle w:val="Heading2"/>
      </w:pPr>
      <w:r>
        <w:t xml:space="preserve">Ocena obszarów</w:t>
      </w:r>
    </w:p>
    <w:p>
      <w:pPr>
        <w:pStyle w:val="Heading3"/>
        <w:pStyle w:val="Heading3"/>
      </w:pPr>
      <w:r>
        <w:t xml:space="preserve">4A Zbieranie Danych</w:t>
      </w:r>
    </w:p>
    <w:p>
      <w:pPr>
        <w:pStyle w:val="Sygnatura"/>
      </w:pPr>
      <w:r>
        <w:t xml:space="preserve">Poziom obecny: — (—) · Poziom docelowy: — (—) · Luka: — · Priorytet: — · Dowody: nieocenione</w:t>
      </w:r>
    </w:p>
    <w:p>
      <w:pPr>
        <w:pStyle w:val="Podpis"/>
      </w:pPr>
      <w:r>
        <w:t xml:space="preserve">Sekcja do uzupełnienia — limit 110–170 słów.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stan faktyczny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ocena i wiarygodność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znaczenie dla przedsiębiorstwa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luka i sens poziomu docelowego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najbliższy krok</w:t>
      </w:r>
    </w:p>
    <w:p>
      <w:pPr>
        <w:pStyle w:val="Heading3"/>
        <w:pStyle w:val="Heading3"/>
      </w:pPr>
      <w:r>
        <w:t xml:space="preserve">4B Metodologia Przechowywania Danych</w:t>
      </w:r>
    </w:p>
    <w:p>
      <w:pPr>
        <w:pStyle w:val="Sygnatura"/>
      </w:pPr>
      <w:r>
        <w:t xml:space="preserve">Poziom obecny: — (—) · Poziom docelowy: — (—) · Luka: — · Priorytet: — · Dowody: nieocenione</w:t>
      </w:r>
    </w:p>
    <w:p>
      <w:pPr>
        <w:pStyle w:val="Podpis"/>
      </w:pPr>
      <w:r>
        <w:t xml:space="preserve">Sekcja do uzupełnienia — limit 110–170 słów.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stan faktyczny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ocena i wiarygodność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znaczenie dla przedsiębiorstwa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luka i sens poziomu docelowego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najbliższy krok</w:t>
      </w:r>
    </w:p>
    <w:p>
      <w:pPr>
        <w:pStyle w:val="Heading3"/>
        <w:pStyle w:val="Heading3"/>
      </w:pPr>
      <w:r>
        <w:t xml:space="preserve">4C Komunikacja Danych</w:t>
      </w:r>
    </w:p>
    <w:p>
      <w:pPr>
        <w:pStyle w:val="Sygnatura"/>
      </w:pPr>
      <w:r>
        <w:t xml:space="preserve">Poziom obecny: — (—) · Poziom docelowy: — (—) · Luka: — · Priorytet: — · Dowody: nieocenione</w:t>
      </w:r>
    </w:p>
    <w:p>
      <w:pPr>
        <w:pStyle w:val="Podpis"/>
      </w:pPr>
      <w:r>
        <w:t xml:space="preserve">Sekcja do uzupełnienia — limit 110–170 słów.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stan faktyczny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ocena i wiarygodność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znaczenie dla przedsiębiorstwa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luka i sens poziomu docelowego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najbliższy krok</w:t>
      </w:r>
    </w:p>
    <w:p>
      <w:pPr>
        <w:pStyle w:val="Heading3"/>
        <w:pStyle w:val="Heading3"/>
      </w:pPr>
      <w:r>
        <w:t xml:space="preserve">4D Analiza Big Data</w:t>
      </w:r>
    </w:p>
    <w:p>
      <w:pPr>
        <w:pStyle w:val="Sygnatura"/>
      </w:pPr>
      <w:r>
        <w:t xml:space="preserve">Poziom obecny: — (—) · Poziom docelowy: — (—) · Luka: — · Priorytet: — · Dowody: nieocenione</w:t>
      </w:r>
    </w:p>
    <w:p>
      <w:pPr>
        <w:pStyle w:val="Podpis"/>
      </w:pPr>
      <w:r>
        <w:t xml:space="preserve">Sekcja do uzupełnienia — limit 110–170 słów.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stan faktyczny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ocena i wiarygodność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znaczenie dla przedsiębiorstwa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luka i sens poziomu docelowego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najbliższy krok</w:t>
      </w:r>
    </w:p>
    <w:p>
      <w:pPr>
        <w:pStyle w:val="Heading3"/>
        <w:pStyle w:val="Heading3"/>
      </w:pPr>
      <w:r>
        <w:t xml:space="preserve">4E Przetwarzanie Danych</w:t>
      </w:r>
    </w:p>
    <w:p>
      <w:pPr>
        <w:pStyle w:val="Sygnatura"/>
      </w:pPr>
      <w:r>
        <w:t xml:space="preserve">Poziom obecny: — (—) · Poziom docelowy: — (—) · Luka: — · Priorytet: — · Dowody: nieocenione</w:t>
      </w:r>
    </w:p>
    <w:p>
      <w:pPr>
        <w:pStyle w:val="Podpis"/>
      </w:pPr>
      <w:r>
        <w:t xml:space="preserve">Sekcja do uzupełnienia — limit 110–170 słów.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stan faktyczny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ocena i wiarygodność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znaczenie dla przedsiębiorstwa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luka i sens poziomu docelowego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najbliższy krok</w:t>
      </w:r>
    </w:p>
    <w:p>
      <w:pPr>
        <w:pStyle w:val="Heading2"/>
        <w:pStyle w:val="Heading2"/>
      </w:pPr>
      <w:r>
        <w:t xml:space="preserve">Wnioski rozdziału</w:t>
      </w:r>
    </w:p>
    <w:p>
      <w:pPr>
        <w:pStyle w:val="Podpis"/>
      </w:pPr>
      <w:r>
        <w:t xml:space="preserve">Sekcja do uzupełnienia — limit 180–260 słów.</w:t>
      </w:r>
    </w:p>
    <w:p>
      <w:pPr>
        <w:pStyle w:val="Kicker"/>
      </w:pPr>
      <w:r>
        <w:t xml:space="preserve">LINIA DECYZYJNA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E2E9EF"/>
          </w:tcPr>
          <w:p>
            <w:pPr>
              <w:pStyle w:val="BodyText"/>
            </w:pPr>
            <w:r>
              <w:rPr>
                <w:b/>
                <w:bCs/>
                <w:color w:val="083152"/>
                <w:sz w:val="20"/>
                <w:szCs w:val="20"/>
              </w:rPr>
              <w:t xml:space="preserve">Pole</w:t>
            </w:r>
          </w:p>
        </w:tc>
        <w:tc>
          <w:tcPr>
            <w:shd w:fill="E2E9EF"/>
          </w:tcPr>
          <w:p>
            <w:pPr>
              <w:pStyle w:val="BodyText"/>
            </w:pPr>
            <w:r>
              <w:rPr>
                <w:b/>
                <w:bCs/>
                <w:color w:val="083152"/>
                <w:sz w:val="20"/>
                <w:szCs w:val="20"/>
              </w:rPr>
              <w:t xml:space="preserve">Treść</w:t>
            </w:r>
          </w:p>
        </w:tc>
      </w:tr>
      <w:tr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Kierunek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Sekcja do uzupełnienia — limit 180–260 słów.</w:t>
            </w:r>
          </w:p>
        </w:tc>
      </w:tr>
      <w:tr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Priorytet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Sekcja do uzupełnienia — limit 180–260 słów.</w:t>
            </w:r>
          </w:p>
        </w:tc>
      </w:tr>
      <w:tr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Horyzont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Sekcja do uzupełnienia — limit 180–260 słów.</w:t>
            </w:r>
          </w:p>
        </w:tc>
      </w:tr>
      <w:tr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Warunek sukcesu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Sekcja do uzupełnienia — limit 180–260 słów.</w:t>
            </w:r>
          </w:p>
        </w:tc>
      </w:tr>
    </w:tbl>
    <w:p>
      <w:pPr>
        <w:pStyle w:val="Caption"/>
      </w:pPr>
      <w:r>
        <w:t xml:space="preserve">Table 9</w:t>
      </w:r>
    </w:p>
    <w:p>
      <w:pPr>
        <w:pStyle w:val="Kicker"/>
        <w:keepNext/>
        <w:pageBreakBefore/>
      </w:pPr>
      <w:r>
        <w:t xml:space="preserve">Rozdział 5 z 7 · oś 5 struktury DRD</w:t>
      </w:r>
    </w:p>
    <w:p>
      <w:pPr>
        <w:pStyle w:val="Heading1"/>
        <w:pStyle w:val="Heading1"/>
        <w:keepNext/>
      </w:pPr>
      <w:r>
        <w:t xml:space="preserve">5. Kultura Transformacji</w:t>
      </w:r>
    </w:p>
    <w:p>
      <w:pPr>
        <w:pStyle w:val="Podpis"/>
      </w:pPr>
      <w:r>
        <w:t xml:space="preserve">Oś nie została oceniona. Sekcja do uzupełnienia — limit 120–180 słów.</w:t>
      </w:r>
    </w:p>
    <w:p>
      <w:pPr>
        <w:pStyle w:val="Heading2"/>
        <w:pStyle w:val="Heading2"/>
      </w:pPr>
      <w:r>
        <w:t xml:space="preserve">Matryca poziomów dojrzałości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shd w:fill="E2E9EF"/>
          </w:tcPr>
          <w:p>
            <w:pPr>
              <w:pStyle w:val="BodyText"/>
            </w:pPr>
            <w:r>
              <w:rPr>
                <w:b/>
                <w:bCs/>
                <w:color w:val="083152"/>
                <w:sz w:val="20"/>
                <w:szCs w:val="20"/>
              </w:rPr>
              <w:t xml:space="preserve">Obszar</w:t>
            </w:r>
          </w:p>
        </w:tc>
        <w:tc>
          <w:tcPr>
            <w:shd w:fill="E2E9EF"/>
          </w:tcPr>
          <w:p>
            <w:pPr>
              <w:pStyle w:val="BodyText"/>
            </w:pPr>
            <w:r>
              <w:rPr>
                <w:b/>
                <w:bCs/>
                <w:color w:val="083152"/>
                <w:sz w:val="20"/>
                <w:szCs w:val="20"/>
              </w:rPr>
              <w:t xml:space="preserve">1</w:t>
            </w:r>
          </w:p>
        </w:tc>
        <w:tc>
          <w:tcPr>
            <w:shd w:fill="E2E9EF"/>
          </w:tcPr>
          <w:p>
            <w:pPr>
              <w:pStyle w:val="BodyText"/>
            </w:pPr>
            <w:r>
              <w:rPr>
                <w:b/>
                <w:bCs/>
                <w:color w:val="083152"/>
                <w:sz w:val="20"/>
                <w:szCs w:val="20"/>
              </w:rPr>
              <w:t xml:space="preserve">2</w:t>
            </w:r>
          </w:p>
        </w:tc>
        <w:tc>
          <w:tcPr>
            <w:shd w:fill="E2E9EF"/>
          </w:tcPr>
          <w:p>
            <w:pPr>
              <w:pStyle w:val="BodyText"/>
            </w:pPr>
            <w:r>
              <w:rPr>
                <w:b/>
                <w:bCs/>
                <w:color w:val="083152"/>
                <w:sz w:val="20"/>
                <w:szCs w:val="20"/>
              </w:rPr>
              <w:t xml:space="preserve">3</w:t>
            </w:r>
          </w:p>
        </w:tc>
        <w:tc>
          <w:tcPr>
            <w:shd w:fill="E2E9EF"/>
          </w:tcPr>
          <w:p>
            <w:pPr>
              <w:pStyle w:val="BodyText"/>
            </w:pPr>
            <w:r>
              <w:rPr>
                <w:b/>
                <w:bCs/>
                <w:color w:val="083152"/>
                <w:sz w:val="20"/>
                <w:szCs w:val="20"/>
              </w:rPr>
              <w:t xml:space="preserve">4</w:t>
            </w:r>
          </w:p>
        </w:tc>
        <w:tc>
          <w:tcPr>
            <w:shd w:fill="E2E9EF"/>
          </w:tcPr>
          <w:p>
            <w:pPr>
              <w:pStyle w:val="BodyText"/>
            </w:pPr>
            <w:r>
              <w:rPr>
                <w:b/>
                <w:bCs/>
                <w:color w:val="083152"/>
                <w:sz w:val="20"/>
                <w:szCs w:val="20"/>
              </w:rPr>
              <w:t xml:space="preserve">5</w:t>
            </w:r>
          </w:p>
        </w:tc>
        <w:tc>
          <w:tcPr>
            <w:shd w:fill="E2E9EF"/>
          </w:tcPr>
          <w:p>
            <w:pPr>
              <w:pStyle w:val="BodyText"/>
            </w:pPr>
            <w:r>
              <w:rPr>
                <w:b/>
                <w:bCs/>
                <w:color w:val="083152"/>
                <w:sz w:val="20"/>
                <w:szCs w:val="20"/>
              </w:rPr>
              <w:t xml:space="preserve">6</w:t>
            </w:r>
          </w:p>
        </w:tc>
        <w:tc>
          <w:tcPr>
            <w:shd w:fill="E2E9EF"/>
          </w:tcPr>
          <w:p>
            <w:pPr>
              <w:pStyle w:val="BodyText"/>
            </w:pPr>
            <w:r>
              <w:rPr>
                <w:b/>
                <w:bCs/>
                <w:color w:val="083152"/>
                <w:sz w:val="20"/>
                <w:szCs w:val="20"/>
              </w:rPr>
              <w:t xml:space="preserve">+2 more</w:t>
            </w:r>
          </w:p>
        </w:tc>
      </w:tr>
      <w:tr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Postawy przywódcze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— · —</w:t>
            </w:r>
          </w:p>
        </w:tc>
      </w:tr>
      <w:tr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Gotowość na zmianę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— · —</w:t>
            </w:r>
          </w:p>
        </w:tc>
      </w:tr>
      <w:tr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Ciągły rozwój kompetencji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— · —</w:t>
            </w:r>
          </w:p>
        </w:tc>
      </w:tr>
      <w:tr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Kultura innowacji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— · —</w:t>
            </w:r>
          </w:p>
        </w:tc>
      </w:tr>
      <w:tr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Dostępność zasobów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— · —</w:t>
            </w:r>
          </w:p>
        </w:tc>
      </w:tr>
    </w:tbl>
    <w:p>
      <w:pPr>
        <w:pStyle w:val="Caption"/>
      </w:pPr>
      <w:r>
        <w:t xml:space="preserve">Table 10 — Sekcja do uzupełnienia — limit 30–60 słów.</w:t>
      </w:r>
    </w:p>
    <w:p>
      <w:pPr>
        <w:pStyle w:val="Podpis"/>
      </w:pPr>
      <w:r>
        <w:t xml:space="preserve">Sekcja do uzupełnienia — limit 30–60 słów.</w:t>
      </w:r>
    </w:p>
    <w:p>
      <w:pPr>
        <w:pStyle w:val="Heading2"/>
        <w:pStyle w:val="Heading2"/>
      </w:pPr>
      <w:r>
        <w:t xml:space="preserve">Ocena obszarów</w:t>
      </w:r>
    </w:p>
    <w:p>
      <w:pPr>
        <w:pStyle w:val="Heading3"/>
        <w:pStyle w:val="Heading3"/>
      </w:pPr>
      <w:r>
        <w:t xml:space="preserve">5A Postawy przywódcze</w:t>
      </w:r>
    </w:p>
    <w:p>
      <w:pPr>
        <w:pStyle w:val="Sygnatura"/>
      </w:pPr>
      <w:r>
        <w:t xml:space="preserve">Poziom obecny: — (—) · Poziom docelowy: — (—) · Luka: — · Priorytet: — · Dowody: nieocenione</w:t>
      </w:r>
    </w:p>
    <w:p>
      <w:pPr>
        <w:pStyle w:val="Podpis"/>
      </w:pPr>
      <w:r>
        <w:t xml:space="preserve">Sekcja do uzupełnienia — limit 110–170 słów.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stan faktyczny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ocena i wiarygodność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znaczenie dla przedsiębiorstwa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luka i sens poziomu docelowego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najbliższy krok</w:t>
      </w:r>
    </w:p>
    <w:p>
      <w:pPr>
        <w:pStyle w:val="Heading3"/>
        <w:pStyle w:val="Heading3"/>
      </w:pPr>
      <w:r>
        <w:t xml:space="preserve">5B Gotowość na zmianę</w:t>
      </w:r>
    </w:p>
    <w:p>
      <w:pPr>
        <w:pStyle w:val="Sygnatura"/>
      </w:pPr>
      <w:r>
        <w:t xml:space="preserve">Poziom obecny: — (—) · Poziom docelowy: — (—) · Luka: — · Priorytet: — · Dowody: nieocenione</w:t>
      </w:r>
    </w:p>
    <w:p>
      <w:pPr>
        <w:pStyle w:val="Podpis"/>
      </w:pPr>
      <w:r>
        <w:t xml:space="preserve">Sekcja do uzupełnienia — limit 110–170 słów.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stan faktyczny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ocena i wiarygodność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znaczenie dla przedsiębiorstwa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luka i sens poziomu docelowego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najbliższy krok</w:t>
      </w:r>
    </w:p>
    <w:p>
      <w:pPr>
        <w:pStyle w:val="Heading3"/>
        <w:pStyle w:val="Heading3"/>
      </w:pPr>
      <w:r>
        <w:t xml:space="preserve">5C Ciągły rozwój kompetencji</w:t>
      </w:r>
    </w:p>
    <w:p>
      <w:pPr>
        <w:pStyle w:val="Sygnatura"/>
      </w:pPr>
      <w:r>
        <w:t xml:space="preserve">Poziom obecny: — (—) · Poziom docelowy: — (—) · Luka: — · Priorytet: — · Dowody: nieocenione</w:t>
      </w:r>
    </w:p>
    <w:p>
      <w:pPr>
        <w:pStyle w:val="Podpis"/>
      </w:pPr>
      <w:r>
        <w:t xml:space="preserve">Sekcja do uzupełnienia — limit 110–170 słów.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stan faktyczny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ocena i wiarygodność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znaczenie dla przedsiębiorstwa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luka i sens poziomu docelowego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najbliższy krok</w:t>
      </w:r>
    </w:p>
    <w:p>
      <w:pPr>
        <w:pStyle w:val="Heading3"/>
        <w:pStyle w:val="Heading3"/>
      </w:pPr>
      <w:r>
        <w:t xml:space="preserve">5D Kultura innowacji</w:t>
      </w:r>
    </w:p>
    <w:p>
      <w:pPr>
        <w:pStyle w:val="Sygnatura"/>
      </w:pPr>
      <w:r>
        <w:t xml:space="preserve">Poziom obecny: — (—) · Poziom docelowy: — (—) · Luka: — · Priorytet: — · Dowody: nieocenione</w:t>
      </w:r>
    </w:p>
    <w:p>
      <w:pPr>
        <w:pStyle w:val="Podpis"/>
      </w:pPr>
      <w:r>
        <w:t xml:space="preserve">Sekcja do uzupełnienia — limit 110–170 słów.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stan faktyczny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ocena i wiarygodność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znaczenie dla przedsiębiorstwa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luka i sens poziomu docelowego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najbliższy krok</w:t>
      </w:r>
    </w:p>
    <w:p>
      <w:pPr>
        <w:pStyle w:val="Heading3"/>
        <w:pStyle w:val="Heading3"/>
      </w:pPr>
      <w:r>
        <w:t xml:space="preserve">5E Dostępność zasobów</w:t>
      </w:r>
    </w:p>
    <w:p>
      <w:pPr>
        <w:pStyle w:val="Sygnatura"/>
      </w:pPr>
      <w:r>
        <w:t xml:space="preserve">Poziom obecny: — (—) · Poziom docelowy: — (—) · Luka: — · Priorytet: — · Dowody: nieocenione</w:t>
      </w:r>
    </w:p>
    <w:p>
      <w:pPr>
        <w:pStyle w:val="Podpis"/>
      </w:pPr>
      <w:r>
        <w:t xml:space="preserve">Sekcja do uzupełnienia — limit 110–170 słów.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stan faktyczny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ocena i wiarygodność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znaczenie dla przedsiębiorstwa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luka i sens poziomu docelowego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najbliższy krok</w:t>
      </w:r>
    </w:p>
    <w:p>
      <w:pPr>
        <w:pStyle w:val="Heading2"/>
        <w:pStyle w:val="Heading2"/>
      </w:pPr>
      <w:r>
        <w:t xml:space="preserve">Wnioski rozdziału</w:t>
      </w:r>
    </w:p>
    <w:p>
      <w:pPr>
        <w:pStyle w:val="Podpis"/>
      </w:pPr>
      <w:r>
        <w:t xml:space="preserve">Sekcja do uzupełnienia — limit 180–260 słów.</w:t>
      </w:r>
    </w:p>
    <w:p>
      <w:pPr>
        <w:pStyle w:val="Kicker"/>
      </w:pPr>
      <w:r>
        <w:t xml:space="preserve">LINIA DECYZYJNA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E2E9EF"/>
          </w:tcPr>
          <w:p>
            <w:pPr>
              <w:pStyle w:val="BodyText"/>
            </w:pPr>
            <w:r>
              <w:rPr>
                <w:b/>
                <w:bCs/>
                <w:color w:val="083152"/>
                <w:sz w:val="20"/>
                <w:szCs w:val="20"/>
              </w:rPr>
              <w:t xml:space="preserve">Pole</w:t>
            </w:r>
          </w:p>
        </w:tc>
        <w:tc>
          <w:tcPr>
            <w:shd w:fill="E2E9EF"/>
          </w:tcPr>
          <w:p>
            <w:pPr>
              <w:pStyle w:val="BodyText"/>
            </w:pPr>
            <w:r>
              <w:rPr>
                <w:b/>
                <w:bCs/>
                <w:color w:val="083152"/>
                <w:sz w:val="20"/>
                <w:szCs w:val="20"/>
              </w:rPr>
              <w:t xml:space="preserve">Treść</w:t>
            </w:r>
          </w:p>
        </w:tc>
      </w:tr>
      <w:tr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Kierunek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Sekcja do uzupełnienia — limit 180–260 słów.</w:t>
            </w:r>
          </w:p>
        </w:tc>
      </w:tr>
      <w:tr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Priorytet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Sekcja do uzupełnienia — limit 180–260 słów.</w:t>
            </w:r>
          </w:p>
        </w:tc>
      </w:tr>
      <w:tr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Horyzont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Sekcja do uzupełnienia — limit 180–260 słów.</w:t>
            </w:r>
          </w:p>
        </w:tc>
      </w:tr>
      <w:tr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Warunek sukcesu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Sekcja do uzupełnienia — limit 180–260 słów.</w:t>
            </w:r>
          </w:p>
        </w:tc>
      </w:tr>
    </w:tbl>
    <w:p>
      <w:pPr>
        <w:pStyle w:val="Caption"/>
      </w:pPr>
      <w:r>
        <w:t xml:space="preserve">Table 11</w:t>
      </w:r>
    </w:p>
    <w:p>
      <w:pPr>
        <w:pStyle w:val="Kicker"/>
        <w:keepNext/>
        <w:pageBreakBefore/>
      </w:pPr>
      <w:r>
        <w:t xml:space="preserve">Rozdział 6 z 7 · oś 6 struktury DRD</w:t>
      </w:r>
    </w:p>
    <w:p>
      <w:pPr>
        <w:pStyle w:val="Heading1"/>
        <w:pStyle w:val="Heading1"/>
        <w:keepNext/>
      </w:pPr>
      <w:r>
        <w:t xml:space="preserve">6. Cyberbezpieczeństwo</w:t>
      </w:r>
    </w:p>
    <w:p>
      <w:pPr>
        <w:pStyle w:val="Podpis"/>
      </w:pPr>
      <w:r>
        <w:t xml:space="preserve">Oś nie została oceniona. Sekcja do uzupełnienia — limit 120–180 słów.</w:t>
      </w:r>
    </w:p>
    <w:p>
      <w:pPr>
        <w:pStyle w:val="Heading2"/>
        <w:pStyle w:val="Heading2"/>
      </w:pPr>
      <w:r>
        <w:t xml:space="preserve">Matryca poziomów dojrzałości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shd w:fill="E2E9EF"/>
          </w:tcPr>
          <w:p>
            <w:pPr>
              <w:pStyle w:val="BodyText"/>
            </w:pPr>
            <w:r>
              <w:rPr>
                <w:b/>
                <w:bCs/>
                <w:color w:val="083152"/>
                <w:sz w:val="20"/>
                <w:szCs w:val="20"/>
              </w:rPr>
              <w:t xml:space="preserve">Obszar</w:t>
            </w:r>
          </w:p>
        </w:tc>
        <w:tc>
          <w:tcPr>
            <w:shd w:fill="E2E9EF"/>
          </w:tcPr>
          <w:p>
            <w:pPr>
              <w:pStyle w:val="BodyText"/>
            </w:pPr>
            <w:r>
              <w:rPr>
                <w:b/>
                <w:bCs/>
                <w:color w:val="083152"/>
                <w:sz w:val="20"/>
                <w:szCs w:val="20"/>
              </w:rPr>
              <w:t xml:space="preserve">1</w:t>
            </w:r>
          </w:p>
        </w:tc>
        <w:tc>
          <w:tcPr>
            <w:shd w:fill="E2E9EF"/>
          </w:tcPr>
          <w:p>
            <w:pPr>
              <w:pStyle w:val="BodyText"/>
            </w:pPr>
            <w:r>
              <w:rPr>
                <w:b/>
                <w:bCs/>
                <w:color w:val="083152"/>
                <w:sz w:val="20"/>
                <w:szCs w:val="20"/>
              </w:rPr>
              <w:t xml:space="preserve">2</w:t>
            </w:r>
          </w:p>
        </w:tc>
        <w:tc>
          <w:tcPr>
            <w:shd w:fill="E2E9EF"/>
          </w:tcPr>
          <w:p>
            <w:pPr>
              <w:pStyle w:val="BodyText"/>
            </w:pPr>
            <w:r>
              <w:rPr>
                <w:b/>
                <w:bCs/>
                <w:color w:val="083152"/>
                <w:sz w:val="20"/>
                <w:szCs w:val="20"/>
              </w:rPr>
              <w:t xml:space="preserve">3</w:t>
            </w:r>
          </w:p>
        </w:tc>
        <w:tc>
          <w:tcPr>
            <w:shd w:fill="E2E9EF"/>
          </w:tcPr>
          <w:p>
            <w:pPr>
              <w:pStyle w:val="BodyText"/>
            </w:pPr>
            <w:r>
              <w:rPr>
                <w:b/>
                <w:bCs/>
                <w:color w:val="083152"/>
                <w:sz w:val="20"/>
                <w:szCs w:val="20"/>
              </w:rPr>
              <w:t xml:space="preserve">4</w:t>
            </w:r>
          </w:p>
        </w:tc>
        <w:tc>
          <w:tcPr>
            <w:shd w:fill="E2E9EF"/>
          </w:tcPr>
          <w:p>
            <w:pPr>
              <w:pStyle w:val="BodyText"/>
            </w:pPr>
            <w:r>
              <w:rPr>
                <w:b/>
                <w:bCs/>
                <w:color w:val="083152"/>
                <w:sz w:val="20"/>
                <w:szCs w:val="20"/>
              </w:rPr>
              <w:t xml:space="preserve">5</w:t>
            </w:r>
          </w:p>
        </w:tc>
        <w:tc>
          <w:tcPr>
            <w:shd w:fill="E2E9EF"/>
          </w:tcPr>
          <w:p>
            <w:pPr>
              <w:pStyle w:val="BodyText"/>
            </w:pPr>
            <w:r>
              <w:rPr>
                <w:b/>
                <w:bCs/>
                <w:color w:val="083152"/>
                <w:sz w:val="20"/>
                <w:szCs w:val="20"/>
              </w:rPr>
              <w:t xml:space="preserve">6</w:t>
            </w:r>
          </w:p>
        </w:tc>
        <w:tc>
          <w:tcPr>
            <w:shd w:fill="E2E9EF"/>
          </w:tcPr>
          <w:p>
            <w:pPr>
              <w:pStyle w:val="BodyText"/>
            </w:pPr>
            <w:r>
              <w:rPr>
                <w:b/>
                <w:bCs/>
                <w:color w:val="083152"/>
                <w:sz w:val="20"/>
                <w:szCs w:val="20"/>
              </w:rPr>
              <w:t xml:space="preserve">+2 more</w:t>
            </w:r>
          </w:p>
        </w:tc>
      </w:tr>
      <w:tr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Strategia i zarządzanie ryzykiem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— · —</w:t>
            </w:r>
          </w:p>
        </w:tc>
      </w:tr>
      <w:tr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Ochrona sieci i systemów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— · —</w:t>
            </w:r>
          </w:p>
        </w:tc>
      </w:tr>
      <w:tr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Ochrona danych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— · —</w:t>
            </w:r>
          </w:p>
        </w:tc>
      </w:tr>
      <w:tr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Edukacja i jakość systemów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— · —</w:t>
            </w:r>
          </w:p>
        </w:tc>
      </w:tr>
      <w:tr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Plany awaryjne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— · —</w:t>
            </w:r>
          </w:p>
        </w:tc>
      </w:tr>
    </w:tbl>
    <w:p>
      <w:pPr>
        <w:pStyle w:val="Caption"/>
      </w:pPr>
      <w:r>
        <w:t xml:space="preserve">Table 12 — Sekcja do uzupełnienia — limit 30–60 słów.</w:t>
      </w:r>
    </w:p>
    <w:p>
      <w:pPr>
        <w:pStyle w:val="Podpis"/>
      </w:pPr>
      <w:r>
        <w:t xml:space="preserve">Sekcja do uzupełnienia — limit 30–60 słów.</w:t>
      </w:r>
    </w:p>
    <w:p>
      <w:pPr>
        <w:pStyle w:val="Heading2"/>
        <w:pStyle w:val="Heading2"/>
      </w:pPr>
      <w:r>
        <w:t xml:space="preserve">Ocena obszarów</w:t>
      </w:r>
    </w:p>
    <w:p>
      <w:pPr>
        <w:pStyle w:val="Heading3"/>
        <w:pStyle w:val="Heading3"/>
      </w:pPr>
      <w:r>
        <w:t xml:space="preserve">6A Strategia i zarządzanie ryzykiem</w:t>
      </w:r>
    </w:p>
    <w:p>
      <w:pPr>
        <w:pStyle w:val="Sygnatura"/>
      </w:pPr>
      <w:r>
        <w:t xml:space="preserve">Poziom obecny: — (—) · Poziom docelowy: — (—) · Luka: — · Priorytet: — · Dowody: nieocenione</w:t>
      </w:r>
    </w:p>
    <w:p>
      <w:pPr>
        <w:pStyle w:val="Podpis"/>
      </w:pPr>
      <w:r>
        <w:t xml:space="preserve">Sekcja do uzupełnienia — limit 110–170 słów.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stan faktyczny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ocena i wiarygodność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znaczenie dla przedsiębiorstwa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luka i sens poziomu docelowego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najbliższy krok</w:t>
      </w:r>
    </w:p>
    <w:p>
      <w:pPr>
        <w:pStyle w:val="Heading3"/>
        <w:pStyle w:val="Heading3"/>
      </w:pPr>
      <w:r>
        <w:t xml:space="preserve">6B Ochrona sieci i systemów</w:t>
      </w:r>
    </w:p>
    <w:p>
      <w:pPr>
        <w:pStyle w:val="Sygnatura"/>
      </w:pPr>
      <w:r>
        <w:t xml:space="preserve">Poziom obecny: — (—) · Poziom docelowy: — (—) · Luka: — · Priorytet: — · Dowody: nieocenione</w:t>
      </w:r>
    </w:p>
    <w:p>
      <w:pPr>
        <w:pStyle w:val="Podpis"/>
      </w:pPr>
      <w:r>
        <w:t xml:space="preserve">Sekcja do uzupełnienia — limit 110–170 słów.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stan faktyczny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ocena i wiarygodność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znaczenie dla przedsiębiorstwa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luka i sens poziomu docelowego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najbliższy krok</w:t>
      </w:r>
    </w:p>
    <w:p>
      <w:pPr>
        <w:pStyle w:val="Heading3"/>
        <w:pStyle w:val="Heading3"/>
      </w:pPr>
      <w:r>
        <w:t xml:space="preserve">6C Ochrona danych</w:t>
      </w:r>
    </w:p>
    <w:p>
      <w:pPr>
        <w:pStyle w:val="Sygnatura"/>
      </w:pPr>
      <w:r>
        <w:t xml:space="preserve">Poziom obecny: — (—) · Poziom docelowy: — (—) · Luka: — · Priorytet: — · Dowody: nieocenione</w:t>
      </w:r>
    </w:p>
    <w:p>
      <w:pPr>
        <w:pStyle w:val="Podpis"/>
      </w:pPr>
      <w:r>
        <w:t xml:space="preserve">Sekcja do uzupełnienia — limit 110–170 słów.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stan faktyczny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ocena i wiarygodność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znaczenie dla przedsiębiorstwa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luka i sens poziomu docelowego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najbliższy krok</w:t>
      </w:r>
    </w:p>
    <w:p>
      <w:pPr>
        <w:pStyle w:val="Heading3"/>
        <w:pStyle w:val="Heading3"/>
      </w:pPr>
      <w:r>
        <w:t xml:space="preserve">6D Edukacja i jakość systemów</w:t>
      </w:r>
    </w:p>
    <w:p>
      <w:pPr>
        <w:pStyle w:val="Sygnatura"/>
      </w:pPr>
      <w:r>
        <w:t xml:space="preserve">Poziom obecny: — (—) · Poziom docelowy: — (—) · Luka: — · Priorytet: — · Dowody: nieocenione</w:t>
      </w:r>
    </w:p>
    <w:p>
      <w:pPr>
        <w:pStyle w:val="Podpis"/>
      </w:pPr>
      <w:r>
        <w:t xml:space="preserve">Sekcja do uzupełnienia — limit 110–170 słów.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stan faktyczny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ocena i wiarygodność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znaczenie dla przedsiębiorstwa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luka i sens poziomu docelowego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najbliższy krok</w:t>
      </w:r>
    </w:p>
    <w:p>
      <w:pPr>
        <w:pStyle w:val="Heading3"/>
        <w:pStyle w:val="Heading3"/>
      </w:pPr>
      <w:r>
        <w:t xml:space="preserve">6E Plany awaryjne</w:t>
      </w:r>
    </w:p>
    <w:p>
      <w:pPr>
        <w:pStyle w:val="Sygnatura"/>
      </w:pPr>
      <w:r>
        <w:t xml:space="preserve">Poziom obecny: — (—) · Poziom docelowy: — (—) · Luka: — · Priorytet: — · Dowody: nieocenione</w:t>
      </w:r>
    </w:p>
    <w:p>
      <w:pPr>
        <w:pStyle w:val="Podpis"/>
      </w:pPr>
      <w:r>
        <w:t xml:space="preserve">Sekcja do uzupełnienia — limit 110–170 słów.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stan faktyczny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ocena i wiarygodność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znaczenie dla przedsiębiorstwa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luka i sens poziomu docelowego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najbliższy krok</w:t>
      </w:r>
    </w:p>
    <w:p>
      <w:pPr>
        <w:pStyle w:val="Heading2"/>
        <w:pStyle w:val="Heading2"/>
      </w:pPr>
      <w:r>
        <w:t xml:space="preserve">Wnioski rozdziału</w:t>
      </w:r>
    </w:p>
    <w:p>
      <w:pPr>
        <w:pStyle w:val="Podpis"/>
      </w:pPr>
      <w:r>
        <w:t xml:space="preserve">Sekcja do uzupełnienia — limit 180–260 słów.</w:t>
      </w:r>
    </w:p>
    <w:p>
      <w:pPr>
        <w:pStyle w:val="Kicker"/>
      </w:pPr>
      <w:r>
        <w:t xml:space="preserve">LINIA DECYZYJNA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E2E9EF"/>
          </w:tcPr>
          <w:p>
            <w:pPr>
              <w:pStyle w:val="BodyText"/>
            </w:pPr>
            <w:r>
              <w:rPr>
                <w:b/>
                <w:bCs/>
                <w:color w:val="083152"/>
                <w:sz w:val="20"/>
                <w:szCs w:val="20"/>
              </w:rPr>
              <w:t xml:space="preserve">Pole</w:t>
            </w:r>
          </w:p>
        </w:tc>
        <w:tc>
          <w:tcPr>
            <w:shd w:fill="E2E9EF"/>
          </w:tcPr>
          <w:p>
            <w:pPr>
              <w:pStyle w:val="BodyText"/>
            </w:pPr>
            <w:r>
              <w:rPr>
                <w:b/>
                <w:bCs/>
                <w:color w:val="083152"/>
                <w:sz w:val="20"/>
                <w:szCs w:val="20"/>
              </w:rPr>
              <w:t xml:space="preserve">Treść</w:t>
            </w:r>
          </w:p>
        </w:tc>
      </w:tr>
      <w:tr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Kierunek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Sekcja do uzupełnienia — limit 180–260 słów.</w:t>
            </w:r>
          </w:p>
        </w:tc>
      </w:tr>
      <w:tr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Priorytet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Sekcja do uzupełnienia — limit 180–260 słów.</w:t>
            </w:r>
          </w:p>
        </w:tc>
      </w:tr>
      <w:tr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Horyzont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Sekcja do uzupełnienia — limit 180–260 słów.</w:t>
            </w:r>
          </w:p>
        </w:tc>
      </w:tr>
      <w:tr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Warunek sukcesu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Sekcja do uzupełnienia — limit 180–260 słów.</w:t>
            </w:r>
          </w:p>
        </w:tc>
      </w:tr>
    </w:tbl>
    <w:p>
      <w:pPr>
        <w:pStyle w:val="Caption"/>
      </w:pPr>
      <w:r>
        <w:t xml:space="preserve">Table 13</w:t>
      </w:r>
    </w:p>
    <w:p>
      <w:pPr>
        <w:pStyle w:val="Kicker"/>
        <w:keepNext/>
        <w:pageBreakBefore/>
      </w:pPr>
      <w:r>
        <w:t xml:space="preserve">Rozdział 7 z 7 · oś 7 struktury DRD</w:t>
      </w:r>
    </w:p>
    <w:p>
      <w:pPr>
        <w:pStyle w:val="Heading1"/>
        <w:pStyle w:val="Heading1"/>
        <w:keepNext/>
      </w:pPr>
      <w:r>
        <w:t xml:space="preserve">7. Dojrzałość AI</w:t>
      </w:r>
    </w:p>
    <w:p>
      <w:pPr>
        <w:pStyle w:val="Podpis"/>
      </w:pPr>
      <w:r>
        <w:t xml:space="preserve">Oś nie została oceniona. Sekcja do uzupełnienia — limit 120–180 słów.</w:t>
      </w:r>
    </w:p>
    <w:p>
      <w:pPr>
        <w:pStyle w:val="Heading2"/>
        <w:pStyle w:val="Heading2"/>
      </w:pPr>
      <w:r>
        <w:t xml:space="preserve">Matryca poziomów dojrzałości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shd w:fill="E2E9EF"/>
          </w:tcPr>
          <w:p>
            <w:pPr>
              <w:pStyle w:val="BodyText"/>
            </w:pPr>
            <w:r>
              <w:rPr>
                <w:b/>
                <w:bCs/>
                <w:color w:val="083152"/>
                <w:sz w:val="20"/>
                <w:szCs w:val="20"/>
              </w:rPr>
              <w:t xml:space="preserve">Obszar</w:t>
            </w:r>
          </w:p>
        </w:tc>
        <w:tc>
          <w:tcPr>
            <w:shd w:fill="E2E9EF"/>
          </w:tcPr>
          <w:p>
            <w:pPr>
              <w:pStyle w:val="BodyText"/>
            </w:pPr>
            <w:r>
              <w:rPr>
                <w:b/>
                <w:bCs/>
                <w:color w:val="083152"/>
                <w:sz w:val="20"/>
                <w:szCs w:val="20"/>
              </w:rPr>
              <w:t xml:space="preserve">1</w:t>
            </w:r>
          </w:p>
        </w:tc>
        <w:tc>
          <w:tcPr>
            <w:shd w:fill="E2E9EF"/>
          </w:tcPr>
          <w:p>
            <w:pPr>
              <w:pStyle w:val="BodyText"/>
            </w:pPr>
            <w:r>
              <w:rPr>
                <w:b/>
                <w:bCs/>
                <w:color w:val="083152"/>
                <w:sz w:val="20"/>
                <w:szCs w:val="20"/>
              </w:rPr>
              <w:t xml:space="preserve">2</w:t>
            </w:r>
          </w:p>
        </w:tc>
        <w:tc>
          <w:tcPr>
            <w:shd w:fill="E2E9EF"/>
          </w:tcPr>
          <w:p>
            <w:pPr>
              <w:pStyle w:val="BodyText"/>
            </w:pPr>
            <w:r>
              <w:rPr>
                <w:b/>
                <w:bCs/>
                <w:color w:val="083152"/>
                <w:sz w:val="20"/>
                <w:szCs w:val="20"/>
              </w:rPr>
              <w:t xml:space="preserve">3</w:t>
            </w:r>
          </w:p>
        </w:tc>
        <w:tc>
          <w:tcPr>
            <w:shd w:fill="E2E9EF"/>
          </w:tcPr>
          <w:p>
            <w:pPr>
              <w:pStyle w:val="BodyText"/>
            </w:pPr>
            <w:r>
              <w:rPr>
                <w:b/>
                <w:bCs/>
                <w:color w:val="083152"/>
                <w:sz w:val="20"/>
                <w:szCs w:val="20"/>
              </w:rPr>
              <w:t xml:space="preserve">4</w:t>
            </w:r>
          </w:p>
        </w:tc>
        <w:tc>
          <w:tcPr>
            <w:shd w:fill="E2E9EF"/>
          </w:tcPr>
          <w:p>
            <w:pPr>
              <w:pStyle w:val="BodyText"/>
            </w:pPr>
            <w:r>
              <w:rPr>
                <w:b/>
                <w:bCs/>
                <w:color w:val="083152"/>
                <w:sz w:val="20"/>
                <w:szCs w:val="20"/>
              </w:rPr>
              <w:t xml:space="preserve">5</w:t>
            </w:r>
          </w:p>
        </w:tc>
        <w:tc>
          <w:tcPr>
            <w:shd w:fill="E2E9EF"/>
          </w:tcPr>
          <w:p>
            <w:pPr>
              <w:pStyle w:val="BodyText"/>
            </w:pPr>
            <w:r>
              <w:rPr>
                <w:b/>
                <w:bCs/>
                <w:color w:val="083152"/>
                <w:sz w:val="20"/>
                <w:szCs w:val="20"/>
              </w:rPr>
              <w:t xml:space="preserve">Luka</w:t>
            </w:r>
          </w:p>
        </w:tc>
        <w:tc>
          <w:tcPr>
            <w:shd w:fill="E2E9EF"/>
          </w:tcPr>
          <w:p>
            <w:pPr>
              <w:pStyle w:val="BodyText"/>
            </w:pPr>
            <w:r>
              <w:rPr>
                <w:b/>
                <w:bCs/>
                <w:color w:val="083152"/>
                <w:sz w:val="20"/>
                <w:szCs w:val="20"/>
              </w:rPr>
              <w:t xml:space="preserve">Priorytet</w:t>
            </w:r>
          </w:p>
        </w:tc>
      </w:tr>
      <w:tr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Dane i Fundamenty AI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—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Procesy Wspierane przez AI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—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AI w Produktach i Usługach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—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Governance, Bezpieczeństwo i Etyka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—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Kompetencje i Kultura AI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—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—</w:t>
            </w:r>
          </w:p>
        </w:tc>
      </w:tr>
    </w:tbl>
    <w:p>
      <w:pPr>
        <w:pStyle w:val="Caption"/>
      </w:pPr>
      <w:r>
        <w:t xml:space="preserve">Table 14 — Sekcja do uzupełnienia — limit 30–60 słów.</w:t>
      </w:r>
    </w:p>
    <w:p>
      <w:pPr>
        <w:pStyle w:val="Podpis"/>
      </w:pPr>
      <w:r>
        <w:t xml:space="preserve">Sekcja do uzupełnienia — limit 30–60 słów.</w:t>
      </w:r>
    </w:p>
    <w:p>
      <w:pPr>
        <w:pStyle w:val="Heading2"/>
        <w:pStyle w:val="Heading2"/>
      </w:pPr>
      <w:r>
        <w:t xml:space="preserve">Ocena obszarów</w:t>
      </w:r>
    </w:p>
    <w:p>
      <w:pPr>
        <w:pStyle w:val="Heading3"/>
        <w:pStyle w:val="Heading3"/>
      </w:pPr>
      <w:r>
        <w:t xml:space="preserve">7A Dane i Fundamenty AI</w:t>
      </w:r>
    </w:p>
    <w:p>
      <w:pPr>
        <w:pStyle w:val="Sygnatura"/>
      </w:pPr>
      <w:r>
        <w:t xml:space="preserve">Poziom obecny: — (—) · Poziom docelowy: — (—) · Luka: — · Priorytet: — · Dowody: nieocenione</w:t>
      </w:r>
    </w:p>
    <w:p>
      <w:pPr>
        <w:pStyle w:val="Podpis"/>
      </w:pPr>
      <w:r>
        <w:t xml:space="preserve">Sekcja do uzupełnienia — limit 110–170 słów.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stan faktyczny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ocena i wiarygodność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znaczenie dla przedsiębiorstwa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luka i sens poziomu docelowego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najbliższy krok</w:t>
      </w:r>
    </w:p>
    <w:p>
      <w:pPr>
        <w:pStyle w:val="Heading3"/>
        <w:pStyle w:val="Heading3"/>
      </w:pPr>
      <w:r>
        <w:t xml:space="preserve">7B Procesy Wspierane przez AI</w:t>
      </w:r>
    </w:p>
    <w:p>
      <w:pPr>
        <w:pStyle w:val="Sygnatura"/>
      </w:pPr>
      <w:r>
        <w:t xml:space="preserve">Poziom obecny: — (—) · Poziom docelowy: — (—) · Luka: — · Priorytet: — · Dowody: nieocenione</w:t>
      </w:r>
    </w:p>
    <w:p>
      <w:pPr>
        <w:pStyle w:val="Podpis"/>
      </w:pPr>
      <w:r>
        <w:t xml:space="preserve">Sekcja do uzupełnienia — limit 110–170 słów.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stan faktyczny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ocena i wiarygodność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znaczenie dla przedsiębiorstwa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luka i sens poziomu docelowego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najbliższy krok</w:t>
      </w:r>
    </w:p>
    <w:p>
      <w:pPr>
        <w:pStyle w:val="Heading3"/>
        <w:pStyle w:val="Heading3"/>
      </w:pPr>
      <w:r>
        <w:t xml:space="preserve">7C AI w Produktach i Usługach</w:t>
      </w:r>
    </w:p>
    <w:p>
      <w:pPr>
        <w:pStyle w:val="Sygnatura"/>
      </w:pPr>
      <w:r>
        <w:t xml:space="preserve">Poziom obecny: — (—) · Poziom docelowy: — (—) · Luka: — · Priorytet: — · Dowody: nieocenione</w:t>
      </w:r>
    </w:p>
    <w:p>
      <w:pPr>
        <w:pStyle w:val="Podpis"/>
      </w:pPr>
      <w:r>
        <w:t xml:space="preserve">Sekcja do uzupełnienia — limit 110–170 słów.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stan faktyczny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ocena i wiarygodność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znaczenie dla przedsiębiorstwa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luka i sens poziomu docelowego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najbliższy krok</w:t>
      </w:r>
    </w:p>
    <w:p>
      <w:pPr>
        <w:pStyle w:val="Heading3"/>
        <w:pStyle w:val="Heading3"/>
      </w:pPr>
      <w:r>
        <w:t xml:space="preserve">7D Governance, Bezpieczeństwo i Etyka</w:t>
      </w:r>
    </w:p>
    <w:p>
      <w:pPr>
        <w:pStyle w:val="Sygnatura"/>
      </w:pPr>
      <w:r>
        <w:t xml:space="preserve">Poziom obecny: — (—) · Poziom docelowy: — (—) · Luka: — · Priorytet: — · Dowody: nieocenione</w:t>
      </w:r>
    </w:p>
    <w:p>
      <w:pPr>
        <w:pStyle w:val="Podpis"/>
      </w:pPr>
      <w:r>
        <w:t xml:space="preserve">Sekcja do uzupełnienia — limit 110–170 słów.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stan faktyczny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ocena i wiarygodność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znaczenie dla przedsiębiorstwa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luka i sens poziomu docelowego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najbliższy krok</w:t>
      </w:r>
    </w:p>
    <w:p>
      <w:pPr>
        <w:pStyle w:val="Heading3"/>
        <w:pStyle w:val="Heading3"/>
      </w:pPr>
      <w:r>
        <w:t xml:space="preserve">7E Kompetencje i Kultura AI</w:t>
      </w:r>
    </w:p>
    <w:p>
      <w:pPr>
        <w:pStyle w:val="Sygnatura"/>
      </w:pPr>
      <w:r>
        <w:t xml:space="preserve">Poziom obecny: — (—) · Poziom docelowy: — (—) · Luka: — · Priorytet: — · Dowody: nieocenione</w:t>
      </w:r>
    </w:p>
    <w:p>
      <w:pPr>
        <w:pStyle w:val="Podpis"/>
      </w:pPr>
      <w:r>
        <w:t xml:space="preserve">Sekcja do uzupełnienia — limit 110–170 słów.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stan faktyczny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ocena i wiarygodność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znaczenie dla przedsiębiorstwa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luka i sens poziomu docelowego</w:t>
      </w:r>
    </w:p>
    <w:p>
      <w:pPr>
        <w:pStyle w:val="BodyText"/>
        <w:numPr>
          <w:ilvl w:val="0"/>
          <w:numId w:val="2"/>
        </w:numPr>
        <w:spacing w:after="60"/>
      </w:pPr>
      <w:r>
        <w:t xml:space="preserve">najbliższy krok</w:t>
      </w:r>
    </w:p>
    <w:p>
      <w:pPr>
        <w:pStyle w:val="Heading2"/>
        <w:pStyle w:val="Heading2"/>
      </w:pPr>
      <w:r>
        <w:t xml:space="preserve">Wnioski rozdziału</w:t>
      </w:r>
    </w:p>
    <w:p>
      <w:pPr>
        <w:pStyle w:val="Podpis"/>
      </w:pPr>
      <w:r>
        <w:t xml:space="preserve">Sekcja do uzupełnienia — limit 180–260 słów.</w:t>
      </w:r>
    </w:p>
    <w:p>
      <w:pPr>
        <w:pStyle w:val="Kicker"/>
      </w:pPr>
      <w:r>
        <w:t xml:space="preserve">LINIA DECYZYJNA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E2E9EF"/>
          </w:tcPr>
          <w:p>
            <w:pPr>
              <w:pStyle w:val="BodyText"/>
            </w:pPr>
            <w:r>
              <w:rPr>
                <w:b/>
                <w:bCs/>
                <w:color w:val="083152"/>
                <w:sz w:val="20"/>
                <w:szCs w:val="20"/>
              </w:rPr>
              <w:t xml:space="preserve">Pole</w:t>
            </w:r>
          </w:p>
        </w:tc>
        <w:tc>
          <w:tcPr>
            <w:shd w:fill="E2E9EF"/>
          </w:tcPr>
          <w:p>
            <w:pPr>
              <w:pStyle w:val="BodyText"/>
            </w:pPr>
            <w:r>
              <w:rPr>
                <w:b/>
                <w:bCs/>
                <w:color w:val="083152"/>
                <w:sz w:val="20"/>
                <w:szCs w:val="20"/>
              </w:rPr>
              <w:t xml:space="preserve">Treść</w:t>
            </w:r>
          </w:p>
        </w:tc>
      </w:tr>
      <w:tr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Kierunek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Sekcja do uzupełnienia — limit 180–260 słów.</w:t>
            </w:r>
          </w:p>
        </w:tc>
      </w:tr>
      <w:tr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Priorytet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Sekcja do uzupełnienia — limit 180–260 słów.</w:t>
            </w:r>
          </w:p>
        </w:tc>
      </w:tr>
      <w:tr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Horyzont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Sekcja do uzupełnienia — limit 180–260 słów.</w:t>
            </w:r>
          </w:p>
        </w:tc>
      </w:tr>
      <w:tr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Warunek sukcesu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Sekcja do uzupełnienia — limit 180–260 słów.</w:t>
            </w:r>
          </w:p>
        </w:tc>
      </w:tr>
    </w:tbl>
    <w:p>
      <w:pPr>
        <w:pStyle w:val="Caption"/>
      </w:pPr>
      <w:r>
        <w:t xml:space="preserve">Table 15</w:t>
      </w:r>
    </w:p>
    <w:p>
      <w:pPr>
        <w:pStyle w:val="Kicker"/>
        <w:keepNext/>
        <w:pageBreakBefore/>
      </w:pPr>
      <w:r>
        <w:t xml:space="preserve">SYNTEZA</w:t>
      </w:r>
    </w:p>
    <w:p>
      <w:pPr>
        <w:pStyle w:val="Heading1"/>
        <w:pStyle w:val="Heading1"/>
        <w:keepNext/>
      </w:pPr>
      <w:r>
        <w:t xml:space="preserve">8. Wnioski końcowe</w:t>
      </w:r>
    </w:p>
    <w:p>
      <w:pPr>
        <w:pStyle w:val="Podpis"/>
      </w:pPr>
      <w:r>
        <w:t xml:space="preserve">Sekcja do uzupełnienia — limit 180–260 słów.</w:t>
      </w:r>
    </w:p>
    <w:p>
      <w:pPr>
        <w:pStyle w:val="Heading2"/>
        <w:pStyle w:val="Heading2"/>
      </w:pPr>
      <w:r>
        <w:t xml:space="preserve">Linia decyzyjna programu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E2E9EF"/>
          </w:tcPr>
          <w:p>
            <w:pPr>
              <w:pStyle w:val="BodyText"/>
            </w:pPr>
            <w:r>
              <w:rPr>
                <w:b/>
                <w:bCs/>
                <w:color w:val="083152"/>
                <w:sz w:val="20"/>
                <w:szCs w:val="20"/>
              </w:rPr>
              <w:t xml:space="preserve">Pole</w:t>
            </w:r>
          </w:p>
        </w:tc>
        <w:tc>
          <w:tcPr>
            <w:shd w:fill="E2E9EF"/>
          </w:tcPr>
          <w:p>
            <w:pPr>
              <w:pStyle w:val="BodyText"/>
            </w:pPr>
            <w:r>
              <w:rPr>
                <w:b/>
                <w:bCs/>
                <w:color w:val="083152"/>
                <w:sz w:val="20"/>
                <w:szCs w:val="20"/>
              </w:rPr>
              <w:t xml:space="preserve">Treść</w:t>
            </w:r>
          </w:p>
        </w:tc>
      </w:tr>
      <w:tr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Kierunek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Sekcja do uzupełnienia — limit 180–260 słów.</w:t>
            </w:r>
          </w:p>
        </w:tc>
      </w:tr>
      <w:tr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Priorytet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Sekcja do uzupełnienia — limit 180–260 słów.</w:t>
            </w:r>
          </w:p>
        </w:tc>
      </w:tr>
      <w:tr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Horyzont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Sekcja do uzupełnienia — limit 180–260 słów.</w:t>
            </w:r>
          </w:p>
        </w:tc>
      </w:tr>
      <w:tr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Warunek sukcesu</w:t>
            </w:r>
          </w:p>
        </w:tc>
        <w:tc>
          <w:p>
            <w:pPr>
              <w:pStyle w:val="BodyText"/>
            </w:pPr>
            <w:r>
              <w:rPr>
                <w:sz w:val="20"/>
                <w:szCs w:val="20"/>
              </w:rPr>
              <w:t xml:space="preserve">Sekcja do uzupełnienia — limit 180–260 słów.</w:t>
            </w:r>
          </w:p>
        </w:tc>
      </w:tr>
    </w:tbl>
    <w:p>
      <w:pPr>
        <w:pStyle w:val="Caption"/>
      </w:pPr>
      <w:r>
        <w:t xml:space="preserve">Table 16</w:t>
      </w:r>
    </w:p>
    <w:p>
      <w:pPr>
        <w:pStyle w:val="Kicker"/>
        <w:keepNext/>
        <w:pageBreakBefore/>
      </w:pPr>
      <w:r>
        <w:t xml:space="preserve">ZAŁĄCZNIK</w:t>
      </w:r>
    </w:p>
    <w:p>
      <w:pPr>
        <w:pStyle w:val="Heading1"/>
        <w:pStyle w:val="Heading1"/>
        <w:keepNext/>
      </w:pPr>
      <w:r>
        <w:t xml:space="preserve">Załącznik A. Rejestr luk</w:t>
      </w:r>
    </w:p>
    <w:p>
      <w:pPr>
        <w:pStyle w:val="Heading1"/>
        <w:pStyle w:val="Heading1"/>
      </w:pPr>
      <w:r>
        <w:t xml:space="preserve">Źródła i identyfikowalność</w:t>
      </w:r>
    </w:p>
    <w:p>
      <w:pPr>
        <w:pStyle w:val="AssumptionBody"/>
      </w:pPr>
      <w:r>
        <w:t xml:space="preserve">Nie dołączono źródeł. Merytoryczne bloki treści oznaczono jako założenia i przed dystrybucją do klienta wymagają pakietu źródłowego.</w:t>
      </w:r>
    </w:p>
    <w:sectPr>
      <w:footerReference w:type="default" r:id="rId6"/>
      <w:footerReference w:type="first" r:id="rId7"/>
      <w:pgSz w:w="11906" w:h="16838" w:orient="portrait"/>
      <w:pgMar w:top="1247" w:right="1247" w:bottom="1134" w:left="1247" w:header="708" w:footer="624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94A3B8"/>
        <w:sz w:val="16"/>
        <w:szCs w:val="16"/>
      </w:rPr>
      <w:t xml:space="preserve">Poufne — [Nazwa klienta do uzupełnienia]</w:t>
    </w:r>
    <w:r>
      <w:rPr>
        <w:color w:val="94A3B8"/>
        <w:sz w:val="16"/>
        <w:szCs w:val="16"/>
      </w:rPr>
      <w:t xml:space="preserve">   |   </w:t>
    </w:r>
    <w:r>
      <w:rPr>
        <w:color w:val="94A3B8"/>
        <w:sz w:val="16"/>
        <w:szCs w:val="16"/>
      </w:rPr>
      <w:t xml:space="preserve">poufne — tylko dla klienta</w:t>
    </w:r>
    <w:r>
      <w:rPr>
        <w:color w:val="94A3B8"/>
        <w:sz w:val="16"/>
        <w:szCs w:val="16"/>
      </w:rPr>
      <w:t xml:space="preserve">   |   </w:t>
    </w:r>
    <w:r>
      <w:rPr>
        <w:color w:val="94A3B8"/>
        <w:sz w:val="16"/>
        <w:szCs w:val="16"/>
      </w:rPr>
      <w:t xml:space="preserve">Strona </w:t>
    </w:r>
    <w:r>
      <w:rPr>
        <w:color w:val="94A3B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94A3B8"/>
        <w:sz w:val="16"/>
        <w:szCs w:val="16"/>
      </w:rPr>
      <w:t xml:space="preserve"> z </w:t>
    </w:r>
    <w:r>
      <w:rPr>
        <w:color w:val="94A3B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  <w:lang w:val="pl-PL" w:eastAsia="pl-PL" w:bidi="pl-PL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before="280" w:after="140"/>
    </w:pPr>
    <w:rPr>
      <w:rFonts w:ascii="Calibri Light" w:cs="Calibri Light" w:eastAsia="Calibri Light" w:hAnsi="Calibri Light"/>
      <w:b/>
      <w:bCs/>
      <w:color w:val="0C447C"/>
      <w:sz w:val="34"/>
      <w:szCs w:val="34"/>
    </w:rPr>
  </w:style>
  <w:style w:type="paragraph" w:styleId="Heading2">
    <w:name w:val="Heading 2"/>
    <w:basedOn w:val="Normal"/>
    <w:next w:val="Normal"/>
    <w:qFormat/>
    <w:pPr>
      <w:spacing w:before="220" w:after="110"/>
    </w:pPr>
    <w:rPr>
      <w:rFonts w:ascii="Calibri Light" w:cs="Calibri Light" w:eastAsia="Calibri Light" w:hAnsi="Calibri Light"/>
      <w:b/>
      <w:bCs/>
      <w:color w:val="1B5FA8"/>
      <w:sz w:val="28"/>
      <w:szCs w:val="28"/>
    </w:rPr>
  </w:style>
  <w:style w:type="paragraph" w:styleId="Heading3">
    <w:name w:val="Heading 3"/>
    <w:basedOn w:val="Normal"/>
    <w:next w:val="Normal"/>
    <w:qFormat/>
    <w:pPr>
      <w:spacing w:before="180" w:after="90"/>
    </w:pPr>
    <w:rPr>
      <w:rFonts w:ascii="Calibri Light" w:cs="Calibri Light" w:eastAsia="Calibri Light" w:hAnsi="Calibri Light"/>
      <w:b/>
      <w:bCs/>
      <w:color w:val="334155"/>
      <w:sz w:val="23"/>
      <w:szCs w:val="23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DocStudioTitle">
    <w:name w:val="Doc Studio Title"/>
    <w:basedOn w:val="Normal"/>
    <w:next w:val="Subtitle"/>
    <w:qFormat/>
    <w:pPr>
      <w:spacing w:before="600" w:after="200"/>
      <w:jc w:val="center"/>
    </w:pPr>
    <w:rPr>
      <w:rFonts w:ascii="Calibri Light" w:cs="Calibri Light" w:eastAsia="Calibri Light" w:hAnsi="Calibri Light"/>
      <w:b/>
      <w:bCs/>
      <w:color w:val="0A2F57"/>
      <w:sz w:val="56"/>
      <w:szCs w:val="56"/>
    </w:rPr>
  </w:style>
  <w:style w:type="paragraph" w:styleId="Subtitle">
    <w:name w:val="Subtitle"/>
    <w:basedOn w:val="Normal"/>
    <w:next w:val="BodyText"/>
    <w:qFormat/>
    <w:pPr>
      <w:spacing w:after="80"/>
      <w:jc w:val="center"/>
    </w:pPr>
    <w:rPr>
      <w:rFonts w:ascii="Calibri" w:cs="Calibri" w:eastAsia="Calibri" w:hAnsi="Calibri"/>
      <w:i/>
      <w:iCs/>
      <w:color w:val="475569"/>
      <w:sz w:val="26"/>
      <w:szCs w:val="26"/>
    </w:rPr>
  </w:style>
  <w:style w:type="paragraph" w:styleId="Heading1">
    <w:name w:val="Heading 1"/>
    <w:basedOn w:val="Normal"/>
    <w:next w:val="BodyText"/>
    <w:qFormat/>
    <w:pPr>
      <w:pBdr>
        <w:bottom w:val="single" w:color="1D9E75" w:sz="8" w:space="6"/>
      </w:pBdr>
      <w:spacing w:before="280" w:after="140"/>
    </w:pPr>
    <w:rPr>
      <w:rFonts w:ascii="Calibri Light" w:cs="Calibri Light" w:eastAsia="Calibri Light" w:hAnsi="Calibri Light"/>
      <w:b/>
      <w:bCs/>
      <w:color w:val="0C447C"/>
      <w:sz w:val="34"/>
      <w:szCs w:val="34"/>
    </w:rPr>
  </w:style>
  <w:style w:type="paragraph" w:styleId="Heading2">
    <w:name w:val="Heading 2"/>
    <w:basedOn w:val="Normal"/>
    <w:next w:val="BodyText"/>
    <w:qFormat/>
    <w:pPr>
      <w:spacing w:before="220" w:after="110"/>
    </w:pPr>
    <w:rPr>
      <w:rFonts w:ascii="Calibri Light" w:cs="Calibri Light" w:eastAsia="Calibri Light" w:hAnsi="Calibri Light"/>
      <w:b/>
      <w:bCs/>
      <w:color w:val="1B5FA8"/>
      <w:sz w:val="28"/>
      <w:szCs w:val="28"/>
    </w:rPr>
  </w:style>
  <w:style w:type="paragraph" w:styleId="Heading3">
    <w:name w:val="Heading 3"/>
    <w:basedOn w:val="Normal"/>
    <w:next w:val="BodyText"/>
    <w:qFormat/>
    <w:pPr>
      <w:spacing w:before="180" w:after="90"/>
    </w:pPr>
    <w:rPr>
      <w:rFonts w:ascii="Calibri Light" w:cs="Calibri Light" w:eastAsia="Calibri Light" w:hAnsi="Calibri Light"/>
      <w:b/>
      <w:bCs/>
      <w:color w:val="334155"/>
      <w:sz w:val="23"/>
      <w:szCs w:val="23"/>
    </w:rPr>
  </w:style>
  <w:style w:type="paragraph" w:styleId="BodyText">
    <w:name w:val="Body Text"/>
    <w:basedOn w:val="Normal"/>
    <w:next w:val="BodyText"/>
    <w:qFormat/>
    <w:pPr>
      <w:spacing w:after="120"/>
    </w:pPr>
    <w:rPr>
      <w:rFonts w:ascii="Calibri" w:cs="Calibri" w:eastAsia="Calibri" w:hAnsi="Calibri"/>
      <w:color w:val="1F2933"/>
      <w:sz w:val="22"/>
      <w:szCs w:val="22"/>
    </w:rPr>
  </w:style>
  <w:style w:type="paragraph" w:styleId="BlockQuote">
    <w:name w:val="Block Quote"/>
    <w:basedOn w:val="BodyText"/>
    <w:next w:val="BodyText"/>
    <w:pPr>
      <w:pBdr>
        <w:left w:val="single" w:color="0C447C" w:sz="18" w:space="12"/>
      </w:pBdr>
      <w:spacing w:before="80" w:after="120"/>
      <w:ind w:left="360"/>
    </w:pPr>
    <w:rPr>
      <w:rFonts w:ascii="Calibri" w:cs="Calibri" w:eastAsia="Calibri" w:hAnsi="Calibri"/>
      <w:i/>
      <w:iCs/>
      <w:color w:val="475569"/>
      <w:sz w:val="22"/>
      <w:szCs w:val="22"/>
    </w:rPr>
  </w:style>
  <w:style w:type="paragraph" w:styleId="Caption">
    <w:name w:val="Caption"/>
    <w:basedOn w:val="Normal"/>
    <w:next w:val="BodyText"/>
    <w:pPr>
      <w:spacing w:before="60" w:after="120"/>
    </w:pPr>
    <w:rPr>
      <w:rFonts w:ascii="Calibri" w:cs="Calibri" w:eastAsia="Calibri" w:hAnsi="Calibri"/>
      <w:i/>
      <w:iCs/>
      <w:color w:val="64748B"/>
      <w:sz w:val="18"/>
      <w:szCs w:val="18"/>
    </w:rPr>
  </w:style>
  <w:style w:type="paragraph" w:styleId="DocStudioFootnote">
    <w:name w:val="Doc Studio Footnote"/>
    <w:basedOn w:val="Normal"/>
    <w:next w:val="BodyText"/>
    <w:pPr>
      <w:spacing w:after="40"/>
    </w:pPr>
    <w:rPr>
      <w:rFonts w:ascii="Calibri" w:cs="Calibri" w:eastAsia="Calibri" w:hAnsi="Calibri"/>
      <w:color w:val="475569"/>
      <w:sz w:val="18"/>
      <w:szCs w:val="18"/>
    </w:rPr>
  </w:style>
  <w:style w:type="paragraph" w:styleId="AssumptionBody">
    <w:name w:val="Assumption Body"/>
    <w:basedOn w:val="BodyText"/>
    <w:next w:val="BodyText"/>
    <w:pPr>
      <w:spacing w:after="120"/>
    </w:pPr>
    <w:rPr>
      <w:rFonts w:ascii="Calibri" w:cs="Calibri" w:eastAsia="Calibri" w:hAnsi="Calibri"/>
      <w:i/>
      <w:iCs/>
      <w:color w:val="92400E"/>
      <w:sz w:val="22"/>
      <w:szCs w:val="22"/>
    </w:rPr>
  </w:style>
  <w:style w:type="paragraph" w:styleId="Callout">
    <w:name w:val="Callout"/>
    <w:basedOn w:val="BodyText"/>
    <w:next w:val="BodyText"/>
    <w:pPr>
      <w:pBdr>
        <w:left w:val="single" w:color="1D9E75" w:sz="24" w:space="12"/>
      </w:pBdr>
      <w:shd w:fill="F5F8FC" w:val="clear"/>
      <w:spacing w:before="80" w:after="120"/>
      <w:ind w:left="240"/>
    </w:pPr>
    <w:rPr>
      <w:rFonts w:ascii="Calibri" w:cs="Calibri" w:eastAsia="Calibri" w:hAnsi="Calibri"/>
      <w:color w:val="1F2933"/>
      <w:sz w:val="22"/>
      <w:szCs w:val="22"/>
    </w:rPr>
  </w:style>
  <w:style w:type="paragraph" w:styleId="SourceList">
    <w:name w:val="Source List"/>
    <w:basedOn w:val="BodyText"/>
    <w:next w:val="SourceList"/>
    <w:pPr>
      <w:spacing w:after="60"/>
    </w:pPr>
    <w:rPr>
      <w:rFonts w:ascii="Calibri" w:cs="Calibri" w:eastAsia="Calibri" w:hAnsi="Calibri"/>
      <w:color w:val="1F2933"/>
      <w:sz w:val="22"/>
      <w:szCs w:val="22"/>
    </w:rPr>
  </w:style>
  <w:style w:type="paragraph" w:styleId="TOCHeading">
    <w:name w:val="TOC Heading"/>
    <w:basedOn w:val="Heading1"/>
    <w:next w:val="BodyText"/>
    <w:qFormat/>
    <w:pPr>
      <w:spacing w:before="280" w:after="140"/>
    </w:pPr>
    <w:rPr>
      <w:rFonts w:ascii="Calibri Light" w:cs="Calibri Light" w:eastAsia="Calibri Light" w:hAnsi="Calibri Light"/>
      <w:b/>
      <w:bCs/>
      <w:color w:val="0C447C"/>
      <w:sz w:val="34"/>
      <w:szCs w:val="34"/>
    </w:rPr>
  </w:style>
  <w:style w:type="paragraph" w:styleId="Tresc">
    <w:name w:val="Treść"/>
    <w:basedOn w:val="Normal"/>
    <w:next w:val="Tresc"/>
    <w:qFormat/>
    <w:pPr>
      <w:spacing w:line="312" w:after="120"/>
    </w:pPr>
    <w:rPr>
      <w:rFonts w:ascii="Calibri" w:cs="Calibri" w:eastAsia="Calibri" w:hAnsi="Calibri"/>
      <w:color w:val="1F2937"/>
      <w:sz w:val="22"/>
      <w:szCs w:val="22"/>
    </w:rPr>
  </w:style>
  <w:style w:type="paragraph" w:styleId="Lead">
    <w:name w:val="Lead"/>
    <w:basedOn w:val="Tresc"/>
    <w:next w:val="Tresc"/>
    <w:pPr>
      <w:spacing w:line="336" w:after="160"/>
    </w:pPr>
    <w:rPr>
      <w:rFonts w:ascii="Calibri" w:cs="Calibri" w:eastAsia="Calibri" w:hAnsi="Calibri"/>
      <w:color w:val="1F2937"/>
      <w:sz w:val="24"/>
      <w:szCs w:val="24"/>
    </w:rPr>
  </w:style>
  <w:style w:type="paragraph" w:styleId="Kicker">
    <w:name w:val="Kicker"/>
    <w:basedOn w:val="Normal"/>
    <w:next w:val="Heading1"/>
    <w:pPr>
      <w:spacing w:after="80"/>
    </w:pPr>
    <w:rPr>
      <w:rFonts w:ascii="Calibri" w:cs="Calibri" w:eastAsia="Calibri" w:hAnsi="Calibri"/>
      <w:b/>
      <w:bCs/>
      <w:color w:val="1D9E75"/>
      <w:sz w:val="18"/>
      <w:szCs w:val="18"/>
    </w:rPr>
  </w:style>
  <w:style w:type="paragraph" w:styleId="Podpis">
    <w:name w:val="Podpis"/>
    <w:basedOn w:val="Tresc"/>
    <w:next w:val="Tresc"/>
    <w:pPr>
      <w:spacing w:before="60" w:after="120"/>
    </w:pPr>
    <w:rPr>
      <w:rFonts w:ascii="Calibri" w:cs="Calibri" w:eastAsia="Calibri" w:hAnsi="Calibri"/>
      <w:i/>
      <w:iCs/>
      <w:color w:val="6B7280"/>
      <w:sz w:val="18"/>
      <w:szCs w:val="18"/>
    </w:rPr>
  </w:style>
  <w:style w:type="paragraph" w:styleId="Sygnatura">
    <w:name w:val="Sygnatura"/>
    <w:basedOn w:val="Tresc"/>
    <w:next w:val="Tresc"/>
    <w:pPr>
      <w:pBdr>
        <w:left w:val="single" w:color="1D9E75" w:sz="18" w:space="10"/>
      </w:pBdr>
      <w:shd w:fill="E2E9EF" w:val="clear"/>
      <w:spacing w:before="80" w:after="100"/>
      <w:ind w:left="180"/>
    </w:pPr>
    <w:rPr>
      <w:rFonts w:ascii="Calibri" w:cs="Calibri" w:eastAsia="Calibri" w:hAnsi="Calibri"/>
      <w:color w:val="1F2937"/>
      <w:sz w:val="19"/>
      <w:szCs w:val="19"/>
    </w:rPr>
  </w:style>
  <w:style w:type="paragraph" w:styleId="TOC1">
    <w:name w:val="TOC 1"/>
    <w:basedOn w:val="Tresc"/>
    <w:next w:val="TOC1"/>
    <w:pPr>
      <w:spacing w:after="70"/>
    </w:pPr>
    <w:rPr>
      <w:rFonts w:ascii="Calibri" w:cs="Calibri" w:eastAsia="Calibri" w:hAnsi="Calibri"/>
      <w:color w:val="083152"/>
      <w:sz w:val="20"/>
      <w:szCs w:val="20"/>
    </w:rPr>
  </w:style>
  <w:style w:type="paragraph" w:styleId="TOC2">
    <w:name w:val="TOC 2"/>
    <w:basedOn w:val="Tresc"/>
    <w:next w:val="TOC2"/>
    <w:pPr>
      <w:spacing w:after="50"/>
      <w:ind w:left="360"/>
    </w:pPr>
    <w:rPr>
      <w:rFonts w:ascii="Calibri" w:cs="Calibri" w:eastAsia="Calibri" w:hAnsi="Calibri"/>
      <w:color w:val="6B7280"/>
      <w:sz w:val="18"/>
      <w:szCs w:val="18"/>
    </w:rPr>
  </w:style>
  <w:style w:type="paragraph" w:styleId="NaglowekBezNumeru">
    <w:name w:val="Nagłówek bez numeru"/>
    <w:basedOn w:val="Heading1"/>
    <w:next w:val="Tresc"/>
    <w:qFormat/>
    <w:pPr>
      <w:spacing w:before="240" w:after="120"/>
    </w:pPr>
    <w:rPr>
      <w:rFonts w:ascii="Calibri Light" w:cs="Calibri Light" w:eastAsia="Calibri Light" w:hAnsi="Calibri Light"/>
      <w:color w:val="0C447C"/>
      <w:sz w:val="40"/>
      <w:szCs w:val="40"/>
    </w:rPr>
  </w:style>
  <w:style w:type="paragraph" w:styleId="NaglowekBezNumeru2">
    <w:name w:val="Nagłówek sekcji bez spisu"/>
    <w:basedOn w:val="Heading2"/>
    <w:next w:val="Tresc"/>
    <w:pPr>
      <w:spacing w:before="200" w:after="100"/>
    </w:pPr>
    <w:rPr>
      <w:rFonts w:ascii="Calibri Light" w:cs="Calibri Light" w:eastAsia="Calibri Light" w:hAnsi="Calibri Light"/>
      <w:b/>
      <w:bCs/>
      <w:color w:val="083152"/>
      <w:sz w:val="27"/>
      <w:szCs w:val="27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oter" Target="footer1.xml"/><Relationship Id="rId7" Type="http://schemas.openxmlformats.org/officeDocument/2006/relationships/footer" Target="footer2.xml"/><Relationship Id="rId8" Type="http://schemas.openxmlformats.org/officeDocument/2006/relationships/image" Target="media/f241260f5f918fa48186537eee207a7c7fa5edc5.png"/><Relationship Id="rId9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Raport z oceny dojrzałości cyfrowej</dc:title>
  <dc:creator>Consultify Document Studio</dc:creator>
  <dc:description>Consultify Document Studio · client_final_report · executive</dc:description>
  <cp:lastModifiedBy>Un-named</cp:lastModifiedBy>
  <cp:revision>1</cp:revision>
  <dcterms:created xsi:type="dcterms:W3CDTF">2026-08-27T03:45:16.710Z</dcterms:created>
  <dcterms:modified xsi:type="dcterms:W3CDTF">2026-08-27T03:45:16.710Z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