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Protokół przeglądu budynku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2551"/>
        <w:gridCol w:w="3685"/>
        <w:gridCol w:w="1701"/>
        <w:gridCol w:w="1701"/>
      </w:tblGrid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Lp.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Nazwa elementu:</w:t>
            </w:r>
          </w:p>
        </w:tc>
        <w:tc>
          <w:tcPr>
            <w:tcW w:type="dxa" w:w="5184"/>
            <w:gridSpan w:val="3"/>
            <w:vAlign w:val="center"/>
          </w:tcPr>
          <w:p>
            <w:pPr>
              <w:jc w:val="center"/>
            </w:pPr>
            <w:r>
              <w:t>Fundament</w:t>
            </w:r>
          </w:p>
        </w:tc>
      </w:tr>
      <w:tr>
        <w:tc>
          <w:tcPr>
            <w:tcW w:type="dxa" w:w="1728"/>
            <w:vMerge w:val="restar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Opis:</w:t>
            </w:r>
          </w:p>
        </w:tc>
        <w:tc>
          <w:tcPr>
            <w:tcW w:type="dxa" w:w="5184"/>
            <w:gridSpan w:val="3"/>
            <w:vAlign w:val="center"/>
          </w:tcPr>
          <w:p>
            <w:pPr>
              <w:jc w:val="left"/>
            </w:pPr>
            <w:r>
              <w:t xml:space="preserve"> Fundamenty wykonano w sposób właściwy. Brak widocznych uszkodzeń, ściany w sposób właściwy wykonane. Fundamenty typowe dla budynków z lat dwudziestych: ceglane, kamienne bądź kamienno-ceglane.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Stan techniczny: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zadowalający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Zużycie: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