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280"/>
          <w:sz w:val="20"/>
          <w:szCs w:val="20"/>
        </w:rPr>
        <w:t xml:space="preserve">APRENDIZAJE DE MÁQUINA — PROPUESTA DE PROYECTO</w:t>
      </w:r>
    </w:p>
    <w:p>
      <w:pPr>
        <w:spacing w:after="60"/>
      </w:pPr>
      <w:r>
        <w:rPr>
          <w:b/>
          <w:bCs/>
          <w:color w:val="0F766E"/>
          <w:sz w:val="40"/>
          <w:szCs w:val="40"/>
        </w:rPr>
        <w:t xml:space="preserve">Shiro + IoT: Energía y Medio Ambiente</w:t>
      </w:r>
    </w:p>
    <w:p>
      <w:pPr>
        <w:spacing w:after="220"/>
      </w:pPr>
      <w:r>
        <w:rPr>
          <w:i/>
          <w:iCs/>
          <w:color w:val="6B7280"/>
          <w:sz w:val="22"/>
          <w:szCs w:val="22"/>
        </w:rPr>
        <w:t xml:space="preserve">Cómo usar el taller del curso para avanzar el desarrollo real de Proyecto Shiro</w:t>
      </w:r>
    </w:p>
    <w:p>
      <w:pPr>
        <w:spacing w:after="80"/>
      </w:pPr>
      <w:r>
        <w:rPr>
          <w:b/>
          <w:bCs/>
        </w:rPr>
        <w:t xml:space="preserve">Sector asignado: </w:t>
      </w:r>
      <w:r>
        <w:t xml:space="preserve">Energía y Medio Ambiente (temática IoT)</w:t>
      </w:r>
    </w:p>
    <w:p>
      <w:pPr>
        <w:spacing w:after="80"/>
      </w:pPr>
      <w:r>
        <w:rPr>
          <w:b/>
          <w:bCs/>
        </w:rPr>
        <w:t xml:space="preserve">Proyecto de origen: </w:t>
      </w:r>
      <w:r>
        <w:t xml:space="preserve">Proyecto Shiro — AI companion modular (packages/core, core-host, desktop)</w:t>
      </w:r>
    </w:p>
    <w:p>
      <w:pPr>
        <w:pBdr>
          <w:bottom w:val="single" w:color="0F766E" w:sz="6"/>
        </w:pBdr>
        <w:spacing w:after="200" w:before="100"/>
      </w:pPr>
    </w:p>
    <w:p>
      <w:pPr>
        <w:spacing w:after="150" w:line="300"/>
      </w:pPr>
      <w:r>
        <w:t xml:space="preserve">Este documento presenta tres propuestas de proyecto de curso, cada una completa y extensa por sí misma, que usan el sector asignado (Energía y Medio Ambiente / IoT) como puerta de entrada para avanzar una pieza real del roadmap de Proyecto Shiro. Las tres están fundamentadas en la arquitectura ya existente del repositorio (interfaces, ADRs y convenciones documentadas), no son ideas desconectadas del producto.</w:t>
      </w:r>
    </w:p>
    <w:p>
      <w:pPr>
        <w:pStyle w:val="Heading1"/>
        <w:spacing w:after="200" w:before="480"/>
      </w:pPr>
      <w:r>
        <w:rPr>
          <w:b/>
          <w:bCs/>
          <w:color w:val="0F766E"/>
        </w:rPr>
        <w:t xml:space="preserve">1. Contexto y oportunidad</w:t>
      </w:r>
    </w:p>
    <w:p>
      <w:pPr>
        <w:pStyle w:val="Heading2"/>
        <w:spacing w:after="140" w:before="300"/>
      </w:pPr>
      <w:r>
        <w:rPr>
          <w:b/>
          <w:bCs/>
          <w:color w:val="1F2937"/>
        </w:rPr>
        <w:t xml:space="preserve">¿Qué es Proyecto Shiro?</w:t>
      </w:r>
    </w:p>
    <w:p>
      <w:pPr>
        <w:spacing w:after="150" w:line="300"/>
      </w:pPr>
      <w:r>
        <w:t xml:space="preserve">Shiro es un AI companion modular tipo VTuber —con voz, memoria persistente y avatar animado (Live2D)— diseñado para escalar de app de escritorio a un sistema con múltiples clientes (móvil, Arduino, IoT). Hoy ya tiene 11 hitos completos: arquitectura event-driven (EventBus + Orchestrator), LLM híbrido (modelo local + Claude en la nube), memoria persistente (Letta + SQLite), entrada de voz (Whisper), salida de voz (ElevenLabs), avatar Live2D con lip-sync y expresiones emocionales, empaquetado como app de escritorio (Tauri), herramientas agénticas (lee/escribe archivos, ejecuta comandos con aprobación humana) y un módulo de auto-mejora que le permite proponerse cambios de código a sí misma (siempre con revisión humana antes de fusionar).</w:t>
      </w:r>
    </w:p>
    <w:p>
      <w:pPr>
        <w:pStyle w:val="Heading2"/>
        <w:spacing w:after="140" w:before="300"/>
      </w:pPr>
      <w:r>
        <w:rPr>
          <w:b/>
          <w:bCs/>
          <w:color w:val="1F2937"/>
        </w:rPr>
        <w:t xml:space="preserve">La oportunidad concreta</w:t>
      </w:r>
    </w:p>
    <w:p>
      <w:pPr>
        <w:spacing w:after="150" w:line="300"/>
      </w:pPr>
      <w:r>
        <w:t xml:space="preserve">La arquitectura de Shiro ya reserva —desde el diseño inicial, no como ocurrencia tardía— un espacio para IoT:</w:t>
      </w:r>
    </w:p>
    <w:p>
      <w:pPr>
        <w:pStyle w:val="ListParagraph"/>
        <w:numPr>
          <w:ilvl w:val="0"/>
          <w:numId w:val="1"/>
        </w:numPr>
        <w:spacing w:after="90" w:line="280"/>
      </w:pPr>
      <w:r>
        <w:rPr>
          <w:b/>
          <w:bCs/>
        </w:rPr>
        <w:t xml:space="preserve">`packages/iot-bridge`: </w:t>
      </w:r>
      <w:r>
        <w:t xml:space="preserve">paquete futuro descrito en la arquitectura del monorepo (MQTT / Home Assistant), hoy sin implementar.</w:t>
      </w:r>
    </w:p>
    <w:p>
      <w:pPr>
        <w:pStyle w:val="ListParagraph"/>
        <w:numPr>
          <w:ilvl w:val="0"/>
          <w:numId w:val="1"/>
        </w:numPr>
        <w:spacing w:after="90" w:line="280"/>
      </w:pPr>
      <w:r>
        <w:rPr>
          <w:b/>
          <w:bCs/>
        </w:rPr>
        <w:t xml:space="preserve">`IDeviceModule` y `DeviceRegistry`: </w:t>
      </w:r>
      <w:r>
        <w:t xml:space="preserve">interfaces definidas en ADR 0003 ("Transport abstraction y Device Registry") desde la Fase 1 del proyecto, precisamente para no tener que rediseñar nada cuando llegara IoT. Siguen vacías.</w:t>
      </w:r>
    </w:p>
    <w:p>
      <w:pPr>
        <w:pStyle w:val="ListParagraph"/>
        <w:numPr>
          <w:ilvl w:val="0"/>
          <w:numId w:val="1"/>
        </w:numPr>
        <w:spacing w:after="90" w:line="280"/>
      </w:pPr>
      <w:r>
        <w:rPr>
          <w:b/>
          <w:bCs/>
        </w:rPr>
        <w:t xml:space="preserve">`config/devices.config.yaml`: </w:t>
      </w:r>
      <w:r>
        <w:t xml:space="preserve">archivo de configuración ya existente en el repo, con un comentario explícito: "Reservado para integración futura con Home Assistant, MQTT, etc." y un ejemplo comentado de dispositivos tipo `light`/`sensor`.</w:t>
      </w:r>
    </w:p>
    <w:p>
      <w:pPr>
        <w:pStyle w:val="ListParagraph"/>
        <w:numPr>
          <w:ilvl w:val="0"/>
          <w:numId w:val="1"/>
        </w:numPr>
        <w:spacing w:after="90" w:line="280"/>
      </w:pPr>
      <w:r>
        <w:rPr>
          <w:b/>
          <w:bCs/>
        </w:rPr>
        <w:t xml:space="preserve">`MQTTTransport`: </w:t>
      </w:r>
      <w:r>
        <w:t xml:space="preserve">transporte previsto en la misma arquitectura de transports (`ITransport`) que ya usa `InProcessTransport` hoy — se puede añadir sin tocar ningún módulo existente, por diseño (ADR 0003).</w:t>
      </w:r>
    </w:p>
    <w:p>
      <w:pPr>
        <w:spacing w:after="150" w:line="300"/>
      </w:pPr>
      <w:r>
        <w:t xml:space="preserve">En otras palabras: el "hueco" para este proyecto no hay que inventarlo — ya existe, documentado, esperando una implementación. Este curso es una oportunidad real de darle contenido.</w:t>
      </w:r>
    </w:p>
    <w:p>
      <w:pPr>
        <w:pStyle w:val="Heading2"/>
        <w:spacing w:after="140" w:before="300"/>
      </w:pPr>
      <w:r>
        <w:rPr>
          <w:b/>
          <w:bCs/>
          <w:color w:val="1F2937"/>
        </w:rPr>
        <w:t xml:space="preserve">Un principio que hay que heredar</w:t>
      </w:r>
    </w:p>
    <w:p>
      <w:pPr>
        <w:spacing w:after="150" w:line="300"/>
      </w:pPr>
      <w:r>
        <w:t xml:space="preserve">Todo lo que Shiro hace hoy que toca el mundo real pasa por aprobación humana explícita antes de ejecutarse: las herramientas de archivos/comandos (`fs:write`, `shell:exec`) tienen un `permissionTier: confirm` que dispara un `ApprovalGate` y un modal de aprobación (ADR 0022); y el módulo de auto-mejora nunca fusiona sus propios cambios — solo abre un Pull Request para que un humano decida (ADR 0023, "propose-only"). Cualquier propuesta que implique que Shiro controle dispositivos físicos (luces, termostatos, enchufes) debe heredar exactamente esa misma filosofía: proponer y pedir aprobación, nunca actuar de forma autónoma sobre el mundo real sin supervisión.</w:t>
      </w:r>
    </w:p>
    <w:p>
      <w:pPr>
        <w:pStyle w:val="Heading1"/>
        <w:pageBreakBefore/>
        <w:spacing w:after="200" w:before="480"/>
      </w:pPr>
      <w:r>
        <w:rPr>
          <w:b/>
          <w:bCs/>
          <w:color w:val="0F766E"/>
        </w:rPr>
        <w:t xml:space="preserve">2. Tres propuestas de proyecto</w:t>
      </w:r>
    </w:p>
    <w:p>
      <w:pPr>
        <w:spacing w:after="150" w:line="300"/>
      </w:pPr>
      <w:r>
        <w:t xml:space="preserve">Las tres cubren el temario completo del curso (los 5 bloques: fundamentos, regresión/clasificación básica, métodos avanzados, no supervisado y refuerzo) y las tres son extensiones reales del roadmap de Shiro. Se diferencian en cuánto se comprometen a tocar dispositivos reales y en el nivel de riesgo/ingeniería que asumen.</w:t>
      </w:r>
    </w:p>
    <w:p>
      <w:pPr>
        <w:pBdr>
          <w:left w:val="single" w:color="B45309" w:sz="24"/>
        </w:pBdr>
        <w:shd w:fill="FEF3E2" w:val="clear"/>
        <w:spacing w:after="100" w:before="400"/>
      </w:pPr>
      <w:r>
        <w:rPr>
          <w:b/>
          <w:bCs/>
          <w:color w:val="B45309"/>
          <w:sz w:val="26"/>
          <w:szCs w:val="26"/>
        </w:rPr>
        <w:t xml:space="preserve">  Propuesta A — </w:t>
      </w:r>
      <w:r>
        <w:rPr>
          <w:b/>
          <w:bCs/>
          <w:color w:val="1F2937"/>
          <w:sz w:val="26"/>
          <w:szCs w:val="26"/>
        </w:rPr>
        <w:t xml:space="preserve">“Shiro Home”</w:t>
      </w:r>
      <w:r>
        <w:rPr>
          <w:i/>
          <w:iCs/>
          <w:color w:val="6B7280"/>
          <w:sz w:val="20"/>
          <w:szCs w:val="20"/>
        </w:rPr>
        <w:t xml:space="preserve">  ·  la compañera gana un cuerpo ambiental</w:t>
      </w:r>
    </w:p>
    <w:p>
      <w:pPr>
        <w:pStyle w:val="Heading3"/>
        <w:spacing w:after="100" w:before="200"/>
      </w:pPr>
      <w:r>
        <w:rPr>
          <w:b/>
          <w:bCs/>
          <w:i/>
          <w:iCs/>
          <w:color w:val="1F2937"/>
          <w:sz w:val="22"/>
          <w:szCs w:val="22"/>
        </w:rPr>
        <w:t xml:space="preserve">Visión</w:t>
      </w:r>
    </w:p>
    <w:p>
      <w:pPr>
        <w:spacing w:after="150" w:line="300"/>
      </w:pPr>
      <w:r>
        <w:t xml:space="preserve">Shiro deja de vivir solo "dentro de la pantalla": gana una capa de percepción sobre el espacio físico del usuario (consumo energético, temperatura, ocupación) y la capacidad de comentarla y actuar sobre ella —con el mismo carácter, voz y avatar que ya tiene—. No es un dashboard aparte: es Shiro hablando de tu casa igual que habla de cualquier otro tema, y pidiendo permiso antes de apagar algo, igual que hoy pide permiso antes de borrar un archivo.</w:t>
      </w:r>
    </w:p>
    <w:p>
      <w:pPr>
        <w:pStyle w:val="Heading3"/>
        <w:spacing w:after="100" w:before="200"/>
      </w:pPr>
      <w:r>
        <w:rPr>
          <w:b/>
          <w:bCs/>
          <w:i/>
          <w:iCs/>
          <w:color w:val="1F2937"/>
          <w:sz w:val="22"/>
          <w:szCs w:val="22"/>
        </w:rPr>
        <w:t xml:space="preserve">Cómo usa el temario del curso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6900"/>
      </w:tblGrid>
      <w:tr>
        <w:trPr>
          <w:tblHeader/>
        </w:trPr>
        <w:tc>
          <w:tcPr>
            <w:tcW w:type="dxa" w:w="2450"/>
            <w:shd w:fill="0F766E" w:val="clear"/>
            <w:tcMar>
              <w:top w:type="dxa" w:w="90"/>
              <w:left w:type="dxa" w:w="110"/>
              <w:bottom w:type="dxa" w:w="90"/>
              <w:right w:type="dxa" w:w="110"/>
            </w:tcMar>
            <w:vAlign w:val="center"/>
          </w:tcPr>
          <w:p>
            <w:pPr>
              <w:jc w:val="left"/>
            </w:pPr>
            <w:r>
              <w:rPr>
                <w:b/>
                <w:bCs/>
                <w:color w:val="FFFFFF"/>
                <w:sz w:val="19"/>
                <w:szCs w:val="19"/>
              </w:rPr>
              <w:t xml:space="preserve">Bloque del curso</w:t>
            </w:r>
          </w:p>
        </w:tc>
        <w:tc>
          <w:tcPr>
            <w:tcW w:type="dxa" w:w="6900"/>
            <w:shd w:fill="0F766E" w:val="clear"/>
            <w:tcMar>
              <w:top w:type="dxa" w:w="90"/>
              <w:left w:type="dxa" w:w="110"/>
              <w:bottom w:type="dxa" w:w="90"/>
              <w:right w:type="dxa" w:w="110"/>
            </w:tcMar>
            <w:vAlign w:val="center"/>
          </w:tcPr>
          <w:p>
            <w:pPr>
              <w:jc w:val="left"/>
            </w:pPr>
            <w:r>
              <w:rPr>
                <w:b/>
                <w:bCs/>
                <w:color w:val="FFFFFF"/>
                <w:sz w:val="19"/>
                <w:szCs w:val="19"/>
              </w:rPr>
              <w:t xml:space="preserve">Rol dentro de Shiro Home</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Regresión Lineal / Boosting</w:t>
            </w:r>
          </w:p>
        </w:tc>
        <w:tc>
          <w:tcPr>
            <w:tcW w:type="dxa" w:w="6900"/>
            <w:tcMar>
              <w:top w:type="dxa" w:w="90"/>
              <w:left w:type="dxa" w:w="110"/>
              <w:bottom w:type="dxa" w:w="90"/>
              <w:right w:type="dxa" w:w="110"/>
            </w:tcMar>
            <w:vAlign w:val="center"/>
          </w:tcPr>
          <w:p>
            <w:pPr>
              <w:jc w:val="left"/>
            </w:pPr>
            <w:r>
              <w:rPr>
                <w:b w:val="false"/>
                <w:bCs w:val="false"/>
                <w:color w:val="1F2937"/>
                <w:sz w:val="19"/>
                <w:szCs w:val="19"/>
              </w:rPr>
              <w:t xml:space="preserve">Predicción del consumo energético esperado (kWh) por hora/día, a partir de histórico + clima + ocupación estimada.</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Regresión Logística / Árboles / KNN / SVM(+kernels)</w:t>
            </w:r>
          </w:p>
        </w:tc>
        <w:tc>
          <w:tcPr>
            <w:tcW w:type="dxa" w:w="6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Clasificación de eventos: ¿hay alguien en casa? ¿un electrodoméstico quedó encendido? ¿el patrón actual es normal o anómalo?</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K-means / Jerárquico / DBSCAN</w:t>
            </w:r>
          </w:p>
        </w:tc>
        <w:tc>
          <w:tcPr>
            <w:tcW w:type="dxa" w:w="6900"/>
            <w:tcMar>
              <w:top w:type="dxa" w:w="90"/>
              <w:left w:type="dxa" w:w="110"/>
              <w:bottom w:type="dxa" w:w="90"/>
              <w:right w:type="dxa" w:w="110"/>
            </w:tcMar>
            <w:vAlign w:val="center"/>
          </w:tcPr>
          <w:p>
            <w:pPr>
              <w:jc w:val="left"/>
            </w:pPr>
            <w:r>
              <w:rPr>
                <w:b w:val="false"/>
                <w:bCs w:val="false"/>
                <w:color w:val="1F2937"/>
                <w:sz w:val="19"/>
                <w:szCs w:val="19"/>
              </w:rPr>
              <w:t xml:space="preserve">Segmentación de rutinas del usuario (perfiles de día laboral / fin de semana / vacaciones) y detección de outliers de consumo sin necesitar etiquetas.</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MDP / Q-learning / DQN</w:t>
            </w:r>
          </w:p>
        </w:tc>
        <w:tc>
          <w:tcPr>
            <w:tcW w:type="dxa" w:w="6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El hogar se formaliza como entorno: estado = hora + temperatura + ocupación + consumo + tarifa; acciones = comandos hacia `DeviceRegistry` (bajar termostato, apagar luces); recompensa = ahorro − penalización de confort. El agente aprende una política de optimización.</w:t>
            </w:r>
          </w:p>
        </w:tc>
      </w:tr>
    </w:tbl>
    <w:p>
      <w:pPr>
        <w:pStyle w:val="Heading3"/>
        <w:spacing w:after="100" w:before="200"/>
      </w:pPr>
      <w:r>
        <w:rPr>
          <w:b/>
          <w:bCs/>
          <w:i/>
          <w:iCs/>
          <w:color w:val="1F2937"/>
          <w:sz w:val="22"/>
          <w:szCs w:val="22"/>
        </w:rPr>
        <w:t xml:space="preserve">Arquitectura técnica (cómo encaja en Shiro, sin inventar patrones nuevos)</w:t>
      </w:r>
    </w:p>
    <w:p>
      <w:pPr>
        <w:pStyle w:val="ListParagraph"/>
        <w:numPr>
          <w:ilvl w:val="0"/>
          <w:numId w:val="1"/>
        </w:numPr>
        <w:spacing w:after="90" w:line="280"/>
      </w:pPr>
      <w:r>
        <w:t xml:space="preserve">Un módulo nuevo tipo herramienta (mismo patrón que `IToolModule`) expone acciones como `energy:predict`, `energy:detect_anomaly`, `energy:suggest_action` — cada una con su `permissionTier`: `auto` para leer/predecir, `confirm` para actuar sobre un dispositivo real (idéntico a cómo hoy `fs:read` es auto y `fs:write` pide confirmación).</w:t>
      </w:r>
    </w:p>
    <w:p>
      <w:pPr>
        <w:pStyle w:val="ListParagraph"/>
        <w:numPr>
          <w:ilvl w:val="0"/>
          <w:numId w:val="1"/>
        </w:numPr>
        <w:spacing w:after="90" w:line="280"/>
      </w:pPr>
      <w:r>
        <w:t xml:space="preserve">`DeviceRegistry` (ADR 0003, hoy vacía) se llena por primera vez, alimentada desde `devices.config.yaml` — con dispositivos simulados para el curso; con `MQTTTransport` real hacia Home Assistant más adelante, sin tocar el resto del core.</w:t>
      </w:r>
    </w:p>
    <w:p>
      <w:pPr>
        <w:pStyle w:val="ListParagraph"/>
        <w:numPr>
          <w:ilvl w:val="0"/>
          <w:numId w:val="1"/>
        </w:numPr>
        <w:spacing w:after="90" w:line="280"/>
      </w:pPr>
      <w:r>
        <w:t xml:space="preserve">El agente de RL corre como microservicio Python aparte, replicando el patrón ya usado para Whisper (STT): cómputo pesado y local vive en un microservicio; el core-host lo consulta por HTTP/WS. Mismo principio documentado en ADR 0020: "cloud APIs in-process, motores locales pesados en microservicio".</w:t>
      </w:r>
    </w:p>
    <w:p>
      <w:pPr>
        <w:pStyle w:val="ListParagraph"/>
        <w:numPr>
          <w:ilvl w:val="0"/>
          <w:numId w:val="1"/>
        </w:numPr>
        <w:spacing w:after="90" w:line="280"/>
      </w:pPr>
      <w:r>
        <w:t xml:space="preserve">Eventos nuevos al EventBus (`iot:reading`, `iot:anomaly-detected`, `iot:action-suggested`, `iot:action-approved`) siguen la misma convención `&lt;módulo&gt;:&lt;verbo&gt;` que ya usa todo el bus — y Shiro reacciona a ellos con voz + expresión emocional del avatar, igual que reacciona a `llm:responded`.</w:t>
      </w:r>
    </w:p>
    <w:p>
      <w:pPr>
        <w:pStyle w:val="ListParagraph"/>
        <w:numPr>
          <w:ilvl w:val="0"/>
          <w:numId w:val="1"/>
        </w:numPr>
        <w:spacing w:after="90" w:line="280"/>
      </w:pPr>
      <w:r>
        <w:t xml:space="preserve">La memoria (Letta + WAL) guarda patrones de largo plazo del hogar igual que guarda memoria conversacional, así Shiro "conoce" tus hábitos con el tiempo y no solo lo que vio en el entrenamiento.</w:t>
      </w:r>
    </w:p>
    <w:p>
      <w:pPr>
        <w:pStyle w:val="Heading3"/>
        <w:spacing w:after="100" w:before="200"/>
      </w:pPr>
      <w:r>
        <w:rPr>
          <w:b/>
          <w:bCs/>
          <w:i/>
          <w:iCs/>
          <w:color w:val="1F2937"/>
          <w:sz w:val="22"/>
          <w:szCs w:val="22"/>
        </w:rPr>
        <w:t xml:space="preserve">Datos</w:t>
      </w:r>
    </w:p>
    <w:p>
      <w:pPr>
        <w:spacing w:after="150" w:line="300"/>
      </w:pPr>
      <w:r>
        <w:t xml:space="preserve">Dataset real de consumo residencial (ver sección 4) + simulación del entorno de RL sobre esa distribución real. No se necesita hardware para completar el semestre.</w:t>
      </w:r>
    </w:p>
    <w:p>
      <w:pPr>
        <w:pStyle w:val="Heading3"/>
        <w:spacing w:after="100" w:before="200"/>
      </w:pPr>
      <w:r>
        <w:rPr>
          <w:b/>
          <w:bCs/>
          <w:i/>
          <w:iCs/>
          <w:color w:val="1F2937"/>
          <w:sz w:val="22"/>
          <w:szCs w:val="22"/>
        </w:rPr>
        <w:t xml:space="preserve">Complejidad, riesgos y qué le aporta a Shiro</w:t>
      </w:r>
    </w:p>
    <w:p>
      <w:pPr>
        <w:spacing w:after="150" w:line="300"/>
      </w:pPr>
      <w:r>
        <w:t xml:space="preserve">Es la propuesta más completa y la de mayor riesgo de alcance: toca los 5 bloques del curso a fondo y sienta las bases reales de un módulo nuevo del producto. A cambio, el resultado es el primer prototipo funcional de `iot-bridge`, evidencia concreta para escribir el ADR formal que exige el propio `CLAUDE.md` del repo antes de implementar algo que toca varios módulos e introduce dependencias nuevas, y una nueva "modalidad sensorial" para el companion que ya estaba prevista en el plan original del proyecto (Fase 11 = integración IoT).</w:t>
      </w:r>
    </w:p>
    <w:p>
      <w:pPr>
        <w:pBdr>
          <w:left w:val="single" w:color="B45309" w:sz="24"/>
        </w:pBdr>
        <w:shd w:fill="FEF3E2" w:val="clear"/>
        <w:spacing w:after="100" w:before="400"/>
      </w:pPr>
      <w:r>
        <w:rPr>
          <w:b/>
          <w:bCs/>
          <w:color w:val="B45309"/>
          <w:sz w:val="26"/>
          <w:szCs w:val="26"/>
        </w:rPr>
        <w:t xml:space="preserve">  Propuesta B — </w:t>
      </w:r>
      <w:r>
        <w:rPr>
          <w:b/>
          <w:bCs/>
          <w:color w:val="1F2937"/>
          <w:sz w:val="26"/>
          <w:szCs w:val="26"/>
        </w:rPr>
        <w:t xml:space="preserve">“Shiro Twin”</w:t>
      </w:r>
      <w:r>
        <w:rPr>
          <w:i/>
          <w:iCs/>
          <w:color w:val="6B7280"/>
          <w:sz w:val="20"/>
          <w:szCs w:val="20"/>
        </w:rPr>
        <w:t xml:space="preserve">  ·  gemelo digital como sandbox seguro</w:t>
      </w:r>
    </w:p>
    <w:p>
      <w:pPr>
        <w:pStyle w:val="Heading3"/>
        <w:spacing w:after="100" w:before="200"/>
      </w:pPr>
      <w:r>
        <w:rPr>
          <w:b/>
          <w:bCs/>
          <w:i/>
          <w:iCs/>
          <w:color w:val="1F2937"/>
          <w:sz w:val="22"/>
          <w:szCs w:val="22"/>
        </w:rPr>
        <w:t xml:space="preserve">Visión</w:t>
      </w:r>
    </w:p>
    <w:p>
      <w:pPr>
        <w:spacing w:after="150" w:line="300"/>
      </w:pPr>
      <w:r>
        <w:t xml:space="preserve">En vez de apuntar directo a dispositivos reales, se construye primero un gemelo digital: una simulación fiel del hogar, alimentada con datos reales, donde el agente de RL entrena y se valida. Es exactamente el mismo espíritu "propose-only" que Shiro ya aplica sobre su propio código: cuando se auto-mejora, trabaja en un worktree de git aislado y nunca toca `main`/`develop` sin que un humano apruebe el PR (ADR 0023). Aquí el "worktree" es un hogar simulado en vez de un repositorio.</w:t>
      </w:r>
    </w:p>
    <w:p>
      <w:pPr>
        <w:pStyle w:val="Heading3"/>
        <w:spacing w:after="100" w:before="200"/>
      </w:pPr>
      <w:r>
        <w:rPr>
          <w:b/>
          <w:bCs/>
          <w:i/>
          <w:iCs/>
          <w:color w:val="1F2937"/>
          <w:sz w:val="22"/>
          <w:szCs w:val="22"/>
        </w:rPr>
        <w:t xml:space="preserve">Cómo usa el temario del curso</w:t>
      </w:r>
    </w:p>
    <w:p>
      <w:pPr>
        <w:spacing w:after="150" w:line="300"/>
      </w:pPr>
      <w:r>
        <w:t xml:space="preserve">Mismo pipeline conceptual que la Propuesta A (regresión, clasificación, clustering, refuerzo), pero el foco y el rigor académico están puestos en la simulación y en comparar formalmente varios algoritmos supervisados/no supervisados que alimentan al agente como "sensores sintéticos" — es la propuesta que más profundiza en el bloque de Aprendizaje por Refuerzo (MDP → Q-learning tabular → DQN si el entorno se hace continuo).</w:t>
      </w:r>
    </w:p>
    <w:p>
      <w:pPr>
        <w:pStyle w:val="Heading3"/>
        <w:spacing w:after="100" w:before="200"/>
      </w:pPr>
      <w:r>
        <w:rPr>
          <w:b/>
          <w:bCs/>
          <w:i/>
          <w:iCs/>
          <w:color w:val="1F2937"/>
          <w:sz w:val="22"/>
          <w:szCs w:val="22"/>
        </w:rPr>
        <w:t xml:space="preserve">Arquitectura técnica</w:t>
      </w:r>
    </w:p>
    <w:p>
      <w:pPr>
        <w:pStyle w:val="ListParagraph"/>
        <w:numPr>
          <w:ilvl w:val="0"/>
          <w:numId w:val="1"/>
        </w:numPr>
        <w:spacing w:after="90" w:line="280"/>
      </w:pPr>
      <w:r>
        <w:t xml:space="preserve">Un entorno de simulación en Python (por ejemplo con Gymnasium) reproduce la dinámica de consumo/temperatura del hogar a partir del dataset real elegido.</w:t>
      </w:r>
    </w:p>
    <w:p>
      <w:pPr>
        <w:pStyle w:val="ListParagraph"/>
        <w:numPr>
          <w:ilvl w:val="0"/>
          <w:numId w:val="1"/>
        </w:numPr>
        <w:spacing w:after="90" w:line="280"/>
      </w:pPr>
      <w:r>
        <w:t xml:space="preserve">La interfaz de salida hacia el resto de Shiro es la misma que tendría un dispositivo real (`IDeviceModule` simulado, mismos eventos al bus) — así, el día que se decida conectar hardware, solo cambia el "backend" del entorno. El resto de Shiro no se entera, por el mismo principio de ADR 0003: los transports se agregan sin tocar los módulos existentes.</w:t>
      </w:r>
    </w:p>
    <w:p>
      <w:pPr>
        <w:pStyle w:val="ListParagraph"/>
        <w:numPr>
          <w:ilvl w:val="0"/>
          <w:numId w:val="1"/>
        </w:numPr>
        <w:spacing w:after="90" w:line="280"/>
      </w:pPr>
      <w:r>
        <w:t xml:space="preserve">No requiere `MQTTTransport` real ni `ApprovalGate` extendido a hardware — todo el ciclo de aprobación se simula también, lo cual permite iterar el diseño de esa UX de aprobación sin ningún riesgo.</w:t>
      </w:r>
    </w:p>
    <w:p>
      <w:pPr>
        <w:pStyle w:val="Heading3"/>
        <w:spacing w:after="100" w:before="200"/>
      </w:pPr>
      <w:r>
        <w:rPr>
          <w:b/>
          <w:bCs/>
          <w:i/>
          <w:iCs/>
          <w:color w:val="1F2937"/>
          <w:sz w:val="22"/>
          <w:szCs w:val="22"/>
        </w:rPr>
        <w:t xml:space="preserve">Datos</w:t>
      </w:r>
    </w:p>
    <w:p>
      <w:pPr>
        <w:spacing w:after="150" w:line="300"/>
      </w:pPr>
      <w:r>
        <w:t xml:space="preserve">Cualquiera de los tres datasets verificados en la sección 4 sirve como base estadística de la simulación; de hecho, esta propuesta se presta a usar los tres en paralelo (uno por corte) para comparar cómo cambia el comportamiento del agente según la fuente de datos.</w:t>
      </w:r>
    </w:p>
    <w:p>
      <w:pPr>
        <w:pStyle w:val="Heading3"/>
        <w:spacing w:after="100" w:before="200"/>
      </w:pPr>
      <w:r>
        <w:rPr>
          <w:b/>
          <w:bCs/>
          <w:i/>
          <w:iCs/>
          <w:color w:val="1F2937"/>
          <w:sz w:val="22"/>
          <w:szCs w:val="22"/>
        </w:rPr>
        <w:t xml:space="preserve">Complejidad, riesgos y qué le aporta a Shiro</w:t>
      </w:r>
    </w:p>
    <w:p>
      <w:pPr>
        <w:spacing w:after="150" w:line="300"/>
      </w:pPr>
      <w:r>
        <w:t xml:space="preserve">Complejidad media-alta, pero de menor riesgo que la Propuesta A: el entregable es 100% software y reproducible, no depende de que la parte de "actuación real" funcione. Le aporta a Shiro una forma segura y barata de validar toda la idea antes de comprar hardware o tocar el hogar real del usuario — es, literalmente, el paso previo recomendado antes de escribir el ADR de IoT en serio.</w:t>
      </w:r>
    </w:p>
    <w:p>
      <w:pPr>
        <w:pBdr>
          <w:left w:val="single" w:color="B45309" w:sz="24"/>
        </w:pBdr>
        <w:shd w:fill="FEF3E2" w:val="clear"/>
        <w:spacing w:after="100" w:before="400"/>
      </w:pPr>
      <w:r>
        <w:rPr>
          <w:b/>
          <w:bCs/>
          <w:color w:val="B45309"/>
          <w:sz w:val="26"/>
          <w:szCs w:val="26"/>
        </w:rPr>
        <w:t xml:space="preserve">  Propuesta C — </w:t>
      </w:r>
      <w:r>
        <w:rPr>
          <w:b/>
          <w:bCs/>
          <w:color w:val="1F2937"/>
          <w:sz w:val="26"/>
          <w:szCs w:val="26"/>
        </w:rPr>
        <w:t xml:space="preserve">“Shiro Guardian”</w:t>
      </w:r>
      <w:r>
        <w:rPr>
          <w:i/>
          <w:iCs/>
          <w:color w:val="6B7280"/>
          <w:sz w:val="20"/>
          <w:szCs w:val="20"/>
        </w:rPr>
        <w:t xml:space="preserve">  ·  seguridad y eficiencia predictiva</w:t>
      </w:r>
    </w:p>
    <w:p>
      <w:pPr>
        <w:pStyle w:val="Heading3"/>
        <w:spacing w:after="100" w:before="200"/>
      </w:pPr>
      <w:r>
        <w:rPr>
          <w:b/>
          <w:bCs/>
          <w:i/>
          <w:iCs/>
          <w:color w:val="1F2937"/>
          <w:sz w:val="22"/>
          <w:szCs w:val="22"/>
        </w:rPr>
        <w:t xml:space="preserve">Visión</w:t>
      </w:r>
    </w:p>
    <w:p>
      <w:pPr>
        <w:spacing w:after="150" w:line="300"/>
      </w:pPr>
      <w:r>
        <w:t xml:space="preserve">En vez de optimizar automáticamente, Shiro vigila el hogar y avisa — más cerca del rol actual de "compañera que te cuida" que de "controlador automático". Es la propuesta menos ambiciosa en la parte de control, pero con una capa analítica más rica y con un enfoque explícito en la parte "medio ambiente" del sector (huella de carbono, desperdicio), no solo en el consumo eléctrico.</w:t>
      </w:r>
    </w:p>
    <w:p>
      <w:pPr>
        <w:pStyle w:val="Heading3"/>
        <w:spacing w:after="100" w:before="200"/>
      </w:pPr>
      <w:r>
        <w:rPr>
          <w:b/>
          <w:bCs/>
          <w:i/>
          <w:iCs/>
          <w:color w:val="1F2937"/>
          <w:sz w:val="22"/>
          <w:szCs w:val="22"/>
        </w:rPr>
        <w:t xml:space="preserve">Cómo usa el temario del curso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6900"/>
      </w:tblGrid>
      <w:tr>
        <w:trPr>
          <w:tblHeader/>
        </w:trPr>
        <w:tc>
          <w:tcPr>
            <w:tcW w:type="dxa" w:w="2450"/>
            <w:shd w:fill="0F766E" w:val="clear"/>
            <w:tcMar>
              <w:top w:type="dxa" w:w="90"/>
              <w:left w:type="dxa" w:w="110"/>
              <w:bottom w:type="dxa" w:w="90"/>
              <w:right w:type="dxa" w:w="110"/>
            </w:tcMar>
            <w:vAlign w:val="center"/>
          </w:tcPr>
          <w:p>
            <w:pPr>
              <w:jc w:val="left"/>
            </w:pPr>
            <w:r>
              <w:rPr>
                <w:b/>
                <w:bCs/>
                <w:color w:val="FFFFFF"/>
                <w:sz w:val="19"/>
                <w:szCs w:val="19"/>
              </w:rPr>
              <w:t xml:space="preserve">Bloque del curso</w:t>
            </w:r>
          </w:p>
        </w:tc>
        <w:tc>
          <w:tcPr>
            <w:tcW w:type="dxa" w:w="6900"/>
            <w:shd w:fill="0F766E" w:val="clear"/>
            <w:tcMar>
              <w:top w:type="dxa" w:w="90"/>
              <w:left w:type="dxa" w:w="110"/>
              <w:bottom w:type="dxa" w:w="90"/>
              <w:right w:type="dxa" w:w="110"/>
            </w:tcMar>
            <w:vAlign w:val="center"/>
          </w:tcPr>
          <w:p>
            <w:pPr>
              <w:jc w:val="left"/>
            </w:pPr>
            <w:r>
              <w:rPr>
                <w:b/>
                <w:bCs/>
                <w:color w:val="FFFFFF"/>
                <w:sz w:val="19"/>
                <w:szCs w:val="19"/>
              </w:rPr>
              <w:t xml:space="preserve">Rol dentro de Shiro Guardian</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Regresión / Boosting</w:t>
            </w:r>
          </w:p>
        </w:tc>
        <w:tc>
          <w:tcPr>
            <w:tcW w:type="dxa" w:w="6900"/>
            <w:tcMar>
              <w:top w:type="dxa" w:w="90"/>
              <w:left w:type="dxa" w:w="110"/>
              <w:bottom w:type="dxa" w:w="90"/>
              <w:right w:type="dxa" w:w="110"/>
            </w:tcMar>
            <w:vAlign w:val="center"/>
          </w:tcPr>
          <w:p>
            <w:pPr>
              <w:jc w:val="left"/>
            </w:pPr>
            <w:r>
              <w:rPr>
                <w:b w:val="false"/>
                <w:bCs w:val="false"/>
                <w:color w:val="1F2937"/>
                <w:sz w:val="19"/>
                <w:szCs w:val="19"/>
              </w:rPr>
              <w:t xml:space="preserve">Predicción de consumo y, opcionalmente, estimación de huella de carbono combinando el dataset del hogar con datos de mezcla energética regional (p. ej. el "Global Power Plant Database" sugerido en la diapositiva de sectores del curso).</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Árboles / KNN / SVM(+kernels)</w:t>
            </w:r>
          </w:p>
        </w:tc>
        <w:tc>
          <w:tcPr>
            <w:tcW w:type="dxa" w:w="6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Clasificación de eventos de riesgo: consumo fuera de lo normal, posible fuga térmica, electrodoméstico con comportamiento defectuoso.</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K-means / Jerárquico / DBSCAN</w:t>
            </w:r>
          </w:p>
        </w:tc>
        <w:tc>
          <w:tcPr>
            <w:tcW w:type="dxa" w:w="6900"/>
            <w:tcMar>
              <w:top w:type="dxa" w:w="90"/>
              <w:left w:type="dxa" w:w="110"/>
              <w:bottom w:type="dxa" w:w="90"/>
              <w:right w:type="dxa" w:w="110"/>
            </w:tcMar>
            <w:vAlign w:val="center"/>
          </w:tcPr>
          <w:p>
            <w:pPr>
              <w:jc w:val="left"/>
            </w:pPr>
            <w:r>
              <w:rPr>
                <w:b w:val="false"/>
                <w:bCs w:val="false"/>
                <w:color w:val="1F2937"/>
                <w:sz w:val="19"/>
                <w:szCs w:val="19"/>
              </w:rPr>
              <w:t xml:space="preserve">Perfiles de consumo "sanos" vs. "de riesgo"; DBSCAN en particular para aislar outliers puntuales sin necesitar definir k de antemano.</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MDP / Q-learning</w:t>
            </w:r>
          </w:p>
        </w:tc>
        <w:tc>
          <w:tcPr>
            <w:tcW w:type="dxa" w:w="69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El "agente" no controla dispositivos: decide una política de alertas (¿notificar ya? ¿esperar más evidencia? ¿escalar a una acción con `confirm`?). Un MDP más pequeño y fácil de justificar académicamente, pero igual de válido para cubrir el bloque de refuerzo.</w:t>
            </w:r>
          </w:p>
        </w:tc>
      </w:tr>
    </w:tbl>
    <w:p>
      <w:pPr>
        <w:pStyle w:val="Heading3"/>
        <w:spacing w:after="100" w:before="200"/>
      </w:pPr>
      <w:r>
        <w:rPr>
          <w:b/>
          <w:bCs/>
          <w:i/>
          <w:iCs/>
          <w:color w:val="1F2937"/>
          <w:sz w:val="22"/>
          <w:szCs w:val="22"/>
        </w:rPr>
        <w:t xml:space="preserve">Arquitectura técnica</w:t>
      </w:r>
    </w:p>
    <w:p>
      <w:pPr>
        <w:spacing w:after="150" w:line="300"/>
      </w:pPr>
      <w:r>
        <w:t xml:space="preserve">Se apoya en el mismo patrón de herramientas con `permissionTier`, pero el catálogo de acciones es solo de lectura + notificación (sin `confirm` sobre dispositivos reales) — menor superficie de riesgo de implementación, coherente con el ancho de banda del equipo documentado en `CLAUDE.md` (4-6 horas/semana, 2 personas).</w:t>
      </w:r>
    </w:p>
    <w:p>
      <w:pPr>
        <w:pStyle w:val="Heading3"/>
        <w:spacing w:after="100" w:before="200"/>
      </w:pPr>
      <w:r>
        <w:rPr>
          <w:b/>
          <w:bCs/>
          <w:i/>
          <w:iCs/>
          <w:color w:val="1F2937"/>
          <w:sz w:val="22"/>
          <w:szCs w:val="22"/>
        </w:rPr>
        <w:t xml:space="preserve">Datos</w:t>
      </w:r>
    </w:p>
    <w:p>
      <w:pPr>
        <w:spacing w:after="150" w:line="300"/>
      </w:pPr>
      <w:r>
        <w:t xml:space="preserve">Dataset principal de consumo residencial (UCI o Kaggle, sección 4) + opcionalmente el Global Power Plant Database para el ángulo ambiental/huella de carbono.</w:t>
      </w:r>
    </w:p>
    <w:p>
      <w:pPr>
        <w:pStyle w:val="Heading3"/>
        <w:spacing w:after="100" w:before="200"/>
      </w:pPr>
      <w:r>
        <w:rPr>
          <w:b/>
          <w:bCs/>
          <w:i/>
          <w:iCs/>
          <w:color w:val="1F2937"/>
          <w:sz w:val="22"/>
          <w:szCs w:val="22"/>
        </w:rPr>
        <w:t xml:space="preserve">Complejidad, riesgos y qué le aporta a Shiro</w:t>
      </w:r>
    </w:p>
    <w:p>
      <w:pPr>
        <w:spacing w:after="150" w:line="300"/>
      </w:pPr>
      <w:r>
        <w:t xml:space="preserve">Complejidad media — la más realista de terminar completa y pulida en un semestre part-time. Le aporta a Shiro una funcionalidad de "cuidado proactivo" coherente con su carácter de compañera, sin comprometerse todavía a controlar dispositivos reales: un MVP más conservador del mismo roadmap.</w:t>
      </w:r>
    </w:p>
    <w:p>
      <w:pPr>
        <w:pStyle w:val="Heading1"/>
        <w:pageBreakBefore/>
        <w:spacing w:after="200" w:before="480"/>
      </w:pPr>
      <w:r>
        <w:rPr>
          <w:b/>
          <w:bCs/>
          <w:color w:val="0F766E"/>
        </w:rPr>
        <w:t xml:space="preserve">3. Comparación y recomendación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50"/>
      </w:tblGrid>
      <w:tr>
        <w:trPr>
          <w:tblHeader/>
        </w:trPr>
        <w:tc>
          <w:tcPr>
            <w:tcW w:type="dxa" w:w="2600"/>
            <w:shd w:fill="0F766E" w:val="clear"/>
            <w:tcMar>
              <w:top w:type="dxa" w:w="90"/>
              <w:left w:type="dxa" w:w="110"/>
              <w:bottom w:type="dxa" w:w="90"/>
              <w:right w:type="dxa" w:w="110"/>
            </w:tcMar>
            <w:vAlign w:val="center"/>
          </w:tcPr>
          <w:p>
            <w:pPr>
              <w:jc w:val="left"/>
            </w:pPr>
            <w:r>
              <w:rPr>
                <w:b/>
                <w:bCs/>
                <w:color w:val="FFFFFF"/>
                <w:sz w:val="19"/>
                <w:szCs w:val="19"/>
              </w:rPr>
              <w:t xml:space="preserve">Criterio</w:t>
            </w:r>
          </w:p>
        </w:tc>
        <w:tc>
          <w:tcPr>
            <w:tcW w:type="dxa" w:w="2250"/>
            <w:shd w:fill="0F766E" w:val="clear"/>
            <w:tcMar>
              <w:top w:type="dxa" w:w="90"/>
              <w:left w:type="dxa" w:w="110"/>
              <w:bottom w:type="dxa" w:w="90"/>
              <w:right w:type="dxa" w:w="110"/>
            </w:tcMar>
            <w:vAlign w:val="center"/>
          </w:tcPr>
          <w:p>
            <w:pPr>
              <w:jc w:val="left"/>
            </w:pPr>
            <w:r>
              <w:rPr>
                <w:b/>
                <w:bCs/>
                <w:color w:val="FFFFFF"/>
                <w:sz w:val="19"/>
                <w:szCs w:val="19"/>
              </w:rPr>
              <w:t xml:space="preserve">A · Shiro Home</w:t>
            </w:r>
          </w:p>
        </w:tc>
        <w:tc>
          <w:tcPr>
            <w:tcW w:type="dxa" w:w="2250"/>
            <w:shd w:fill="0F766E" w:val="clear"/>
            <w:tcMar>
              <w:top w:type="dxa" w:w="90"/>
              <w:left w:type="dxa" w:w="110"/>
              <w:bottom w:type="dxa" w:w="90"/>
              <w:right w:type="dxa" w:w="110"/>
            </w:tcMar>
            <w:vAlign w:val="center"/>
          </w:tcPr>
          <w:p>
            <w:pPr>
              <w:jc w:val="left"/>
            </w:pPr>
            <w:r>
              <w:rPr>
                <w:b/>
                <w:bCs/>
                <w:color w:val="FFFFFF"/>
                <w:sz w:val="19"/>
                <w:szCs w:val="19"/>
              </w:rPr>
              <w:t xml:space="preserve">B · Shiro Twin</w:t>
            </w:r>
          </w:p>
        </w:tc>
        <w:tc>
          <w:tcPr>
            <w:tcW w:type="dxa" w:w="2250"/>
            <w:shd w:fill="0F766E" w:val="clear"/>
            <w:tcMar>
              <w:top w:type="dxa" w:w="90"/>
              <w:left w:type="dxa" w:w="110"/>
              <w:bottom w:type="dxa" w:w="90"/>
              <w:right w:type="dxa" w:w="110"/>
            </w:tcMar>
            <w:vAlign w:val="center"/>
          </w:tcPr>
          <w:p>
            <w:pPr>
              <w:jc w:val="left"/>
            </w:pPr>
            <w:r>
              <w:rPr>
                <w:b/>
                <w:bCs/>
                <w:color w:val="FFFFFF"/>
                <w:sz w:val="19"/>
                <w:szCs w:val="19"/>
              </w:rPr>
              <w:t xml:space="preserve">C · Shiro Guardian</w:t>
            </w:r>
          </w:p>
        </w:tc>
      </w:tr>
      <w:tr>
        <w:tc>
          <w:tcPr>
            <w:tcW w:type="dxa" w:w="2600"/>
            <w:tcMar>
              <w:top w:type="dxa" w:w="90"/>
              <w:left w:type="dxa" w:w="110"/>
              <w:bottom w:type="dxa" w:w="90"/>
              <w:right w:type="dxa" w:w="110"/>
            </w:tcMar>
            <w:vAlign w:val="center"/>
          </w:tcPr>
          <w:p>
            <w:pPr>
              <w:jc w:val="left"/>
            </w:pPr>
            <w:r>
              <w:rPr>
                <w:b w:val="false"/>
                <w:bCs w:val="false"/>
                <w:color w:val="1F2937"/>
                <w:sz w:val="19"/>
                <w:szCs w:val="19"/>
              </w:rPr>
              <w:t xml:space="preserve">Cobertura del temario (bloques 1-5)</w:t>
            </w:r>
          </w:p>
        </w:tc>
        <w:tc>
          <w:tcPr>
            <w:tcW w:type="dxa" w:w="2250"/>
            <w:tcMar>
              <w:top w:type="dxa" w:w="90"/>
              <w:left w:type="dxa" w:w="110"/>
              <w:bottom w:type="dxa" w:w="90"/>
              <w:right w:type="dxa" w:w="110"/>
            </w:tcMar>
            <w:vAlign w:val="center"/>
          </w:tcPr>
          <w:p>
            <w:pPr>
              <w:jc w:val="left"/>
            </w:pPr>
            <w:r>
              <w:rPr>
                <w:b w:val="false"/>
                <w:bCs w:val="false"/>
                <w:color w:val="1F2937"/>
                <w:sz w:val="19"/>
                <w:szCs w:val="19"/>
              </w:rPr>
              <w:t xml:space="preserve">Alta, los 5</w:t>
            </w:r>
          </w:p>
        </w:tc>
        <w:tc>
          <w:tcPr>
            <w:tcW w:type="dxa" w:w="2250"/>
            <w:tcMar>
              <w:top w:type="dxa" w:w="90"/>
              <w:left w:type="dxa" w:w="110"/>
              <w:bottom w:type="dxa" w:w="90"/>
              <w:right w:type="dxa" w:w="110"/>
            </w:tcMar>
            <w:vAlign w:val="center"/>
          </w:tcPr>
          <w:p>
            <w:pPr>
              <w:jc w:val="left"/>
            </w:pPr>
            <w:r>
              <w:rPr>
                <w:b w:val="false"/>
                <w:bCs w:val="false"/>
                <w:color w:val="1F2937"/>
                <w:sz w:val="19"/>
                <w:szCs w:val="19"/>
              </w:rPr>
              <w:t xml:space="preserve">Alta, más profundidad en refuerzo</w:t>
            </w:r>
          </w:p>
        </w:tc>
        <w:tc>
          <w:tcPr>
            <w:tcW w:type="dxa" w:w="2250"/>
            <w:tcMar>
              <w:top w:type="dxa" w:w="90"/>
              <w:left w:type="dxa" w:w="110"/>
              <w:bottom w:type="dxa" w:w="90"/>
              <w:right w:type="dxa" w:w="110"/>
            </w:tcMar>
            <w:vAlign w:val="center"/>
          </w:tcPr>
          <w:p>
            <w:pPr>
              <w:jc w:val="left"/>
            </w:pPr>
            <w:r>
              <w:rPr>
                <w:b w:val="false"/>
                <w:bCs w:val="false"/>
                <w:color w:val="1F2937"/>
                <w:sz w:val="19"/>
                <w:szCs w:val="19"/>
              </w:rPr>
              <w:t xml:space="preserve">Alta, refuerzo simplificado</w:t>
            </w:r>
          </w:p>
        </w:tc>
      </w:tr>
      <w:tr>
        <w:tc>
          <w:tcPr>
            <w:tcW w:type="dxa" w:w="26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¿Necesita hardware real?</w:t>
            </w:r>
          </w:p>
        </w:tc>
        <w:tc>
          <w:tcPr>
            <w:tcW w:type="dxa" w:w="2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No este semestre; sí a futuro</w:t>
            </w:r>
          </w:p>
        </w:tc>
        <w:tc>
          <w:tcPr>
            <w:tcW w:type="dxa" w:w="2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No, nunca — ese es el punto</w:t>
            </w:r>
          </w:p>
        </w:tc>
        <w:tc>
          <w:tcPr>
            <w:tcW w:type="dxa" w:w="2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No</w:t>
            </w:r>
          </w:p>
        </w:tc>
      </w:tr>
      <w:tr>
        <w:tc>
          <w:tcPr>
            <w:tcW w:type="dxa" w:w="2600"/>
            <w:tcMar>
              <w:top w:type="dxa" w:w="90"/>
              <w:left w:type="dxa" w:w="110"/>
              <w:bottom w:type="dxa" w:w="90"/>
              <w:right w:type="dxa" w:w="110"/>
            </w:tcMar>
            <w:vAlign w:val="center"/>
          </w:tcPr>
          <w:p>
            <w:pPr>
              <w:jc w:val="left"/>
            </w:pPr>
            <w:r>
              <w:rPr>
                <w:b w:val="false"/>
                <w:bCs w:val="false"/>
                <w:color w:val="1F2937"/>
                <w:sz w:val="19"/>
                <w:szCs w:val="19"/>
              </w:rPr>
              <w:t xml:space="preserve">Complejidad de ingeniería</w:t>
            </w:r>
          </w:p>
        </w:tc>
        <w:tc>
          <w:tcPr>
            <w:tcW w:type="dxa" w:w="2250"/>
            <w:tcMar>
              <w:top w:type="dxa" w:w="90"/>
              <w:left w:type="dxa" w:w="110"/>
              <w:bottom w:type="dxa" w:w="90"/>
              <w:right w:type="dxa" w:w="110"/>
            </w:tcMar>
            <w:vAlign w:val="center"/>
          </w:tcPr>
          <w:p>
            <w:pPr>
              <w:jc w:val="left"/>
            </w:pPr>
            <w:r>
              <w:rPr>
                <w:b w:val="false"/>
                <w:bCs w:val="false"/>
                <w:color w:val="1F2937"/>
                <w:sz w:val="19"/>
                <w:szCs w:val="19"/>
              </w:rPr>
              <w:t xml:space="preserve">Alta</w:t>
            </w:r>
          </w:p>
        </w:tc>
        <w:tc>
          <w:tcPr>
            <w:tcW w:type="dxa" w:w="2250"/>
            <w:tcMar>
              <w:top w:type="dxa" w:w="90"/>
              <w:left w:type="dxa" w:w="110"/>
              <w:bottom w:type="dxa" w:w="90"/>
              <w:right w:type="dxa" w:w="110"/>
            </w:tcMar>
            <w:vAlign w:val="center"/>
          </w:tcPr>
          <w:p>
            <w:pPr>
              <w:jc w:val="left"/>
            </w:pPr>
            <w:r>
              <w:rPr>
                <w:b w:val="false"/>
                <w:bCs w:val="false"/>
                <w:color w:val="1F2937"/>
                <w:sz w:val="19"/>
                <w:szCs w:val="19"/>
              </w:rPr>
              <w:t xml:space="preserve">Media-alta</w:t>
            </w:r>
          </w:p>
        </w:tc>
        <w:tc>
          <w:tcPr>
            <w:tcW w:type="dxa" w:w="2250"/>
            <w:tcMar>
              <w:top w:type="dxa" w:w="90"/>
              <w:left w:type="dxa" w:w="110"/>
              <w:bottom w:type="dxa" w:w="90"/>
              <w:right w:type="dxa" w:w="110"/>
            </w:tcMar>
            <w:vAlign w:val="center"/>
          </w:tcPr>
          <w:p>
            <w:pPr>
              <w:jc w:val="left"/>
            </w:pPr>
            <w:r>
              <w:rPr>
                <w:b w:val="false"/>
                <w:bCs w:val="false"/>
                <w:color w:val="1F2937"/>
                <w:sz w:val="19"/>
                <w:szCs w:val="19"/>
              </w:rPr>
              <w:t xml:space="preserve">Media</w:t>
            </w:r>
          </w:p>
        </w:tc>
      </w:tr>
      <w:tr>
        <w:tc>
          <w:tcPr>
            <w:tcW w:type="dxa" w:w="26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Riesgo de no terminar a tiempo</w:t>
            </w:r>
          </w:p>
        </w:tc>
        <w:tc>
          <w:tcPr>
            <w:tcW w:type="dxa" w:w="2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Medio-alto</w:t>
            </w:r>
          </w:p>
        </w:tc>
        <w:tc>
          <w:tcPr>
            <w:tcW w:type="dxa" w:w="2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Medio</w:t>
            </w:r>
          </w:p>
        </w:tc>
        <w:tc>
          <w:tcPr>
            <w:tcW w:type="dxa" w:w="2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Bajo</w:t>
            </w:r>
          </w:p>
        </w:tc>
      </w:tr>
      <w:tr>
        <w:tc>
          <w:tcPr>
            <w:tcW w:type="dxa" w:w="2600"/>
            <w:tcMar>
              <w:top w:type="dxa" w:w="90"/>
              <w:left w:type="dxa" w:w="110"/>
              <w:bottom w:type="dxa" w:w="90"/>
              <w:right w:type="dxa" w:w="110"/>
            </w:tcMar>
            <w:vAlign w:val="center"/>
          </w:tcPr>
          <w:p>
            <w:pPr>
              <w:jc w:val="left"/>
            </w:pPr>
            <w:r>
              <w:rPr>
                <w:b w:val="false"/>
                <w:bCs w:val="false"/>
                <w:color w:val="1F2937"/>
                <w:sz w:val="19"/>
                <w:szCs w:val="19"/>
              </w:rPr>
              <w:t xml:space="preserve">Valor añadido a Shiro como producto</w:t>
            </w:r>
          </w:p>
        </w:tc>
        <w:tc>
          <w:tcPr>
            <w:tcW w:type="dxa" w:w="2250"/>
            <w:tcMar>
              <w:top w:type="dxa" w:w="90"/>
              <w:left w:type="dxa" w:w="110"/>
              <w:bottom w:type="dxa" w:w="90"/>
              <w:right w:type="dxa" w:w="110"/>
            </w:tcMar>
            <w:vAlign w:val="center"/>
          </w:tcPr>
          <w:p>
            <w:pPr>
              <w:jc w:val="left"/>
            </w:pPr>
            <w:r>
              <w:rPr>
                <w:b w:val="false"/>
                <w:bCs w:val="false"/>
                <w:color w:val="1F2937"/>
                <w:sz w:val="19"/>
                <w:szCs w:val="19"/>
              </w:rPr>
              <w:t xml:space="preserve">Muy alto — primer iot-bridge funcional</w:t>
            </w:r>
          </w:p>
        </w:tc>
        <w:tc>
          <w:tcPr>
            <w:tcW w:type="dxa" w:w="2250"/>
            <w:tcMar>
              <w:top w:type="dxa" w:w="90"/>
              <w:left w:type="dxa" w:w="110"/>
              <w:bottom w:type="dxa" w:w="90"/>
              <w:right w:type="dxa" w:w="110"/>
            </w:tcMar>
            <w:vAlign w:val="center"/>
          </w:tcPr>
          <w:p>
            <w:pPr>
              <w:jc w:val="left"/>
            </w:pPr>
            <w:r>
              <w:rPr>
                <w:b w:val="false"/>
                <w:bCs w:val="false"/>
                <w:color w:val="1F2937"/>
                <w:sz w:val="19"/>
                <w:szCs w:val="19"/>
              </w:rPr>
              <w:t xml:space="preserve">Alto — sandbox reutilizable para A</w:t>
            </w:r>
          </w:p>
        </w:tc>
        <w:tc>
          <w:tcPr>
            <w:tcW w:type="dxa" w:w="2250"/>
            <w:tcMar>
              <w:top w:type="dxa" w:w="90"/>
              <w:left w:type="dxa" w:w="110"/>
              <w:bottom w:type="dxa" w:w="90"/>
              <w:right w:type="dxa" w:w="110"/>
            </w:tcMar>
            <w:vAlign w:val="center"/>
          </w:tcPr>
          <w:p>
            <w:pPr>
              <w:jc w:val="left"/>
            </w:pPr>
            <w:r>
              <w:rPr>
                <w:b w:val="false"/>
                <w:bCs w:val="false"/>
                <w:color w:val="1F2937"/>
                <w:sz w:val="19"/>
                <w:szCs w:val="19"/>
              </w:rPr>
              <w:t xml:space="preserve">Medio-alto — feature de cuidado proactivo</w:t>
            </w:r>
          </w:p>
        </w:tc>
      </w:tr>
      <w:tr>
        <w:tc>
          <w:tcPr>
            <w:tcW w:type="dxa" w:w="26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Encaje con la filosofía "propose-only" de Shiro</w:t>
            </w:r>
          </w:p>
        </w:tc>
        <w:tc>
          <w:tcPr>
            <w:tcW w:type="dxa" w:w="2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Requiere disciplina extra (control real)</w:t>
            </w:r>
          </w:p>
        </w:tc>
        <w:tc>
          <w:tcPr>
            <w:tcW w:type="dxa" w:w="2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Nativo — es sandbox por diseño</w:t>
            </w:r>
          </w:p>
        </w:tc>
        <w:tc>
          <w:tcPr>
            <w:tcW w:type="dxa" w:w="22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Nativo — solo notifica</w:t>
            </w:r>
          </w:p>
        </w:tc>
      </w:tr>
    </w:tbl>
    <w:p>
      <w:pPr>
        <w:spacing w:after="120" w:before="220"/>
      </w:pPr>
      <w:r>
        <w:rPr>
          <w:b/>
          <w:bCs/>
          <w:color w:val="B45309"/>
          <w:sz w:val="22"/>
          <w:szCs w:val="22"/>
        </w:rPr>
        <w:t xml:space="preserve">Recomendación</w:t>
      </w:r>
    </w:p>
    <w:p>
      <w:pPr>
        <w:spacing w:after="150" w:line="300"/>
      </w:pPr>
      <w:r>
        <w:t xml:space="preserve">Empezar por la Propuesta B (Shiro Twin) como núcleo de los cortes 1 y 2: minimiza riesgo, es 100% reproducible, y es además la base técnica que necesitarían tanto A como C. Con el 3er corte, y según cuánto tiempo quede, decidir si se extiende hacia A (si el equipo quiere dejarlo listo para conectar hardware real más adelante — algo que no descartan) o se cierra como C (si prefieren un entregable más acotado y pulido para la entrega final). Esta secuencia también evita apostar todo el semestre a que el hardware llegue a tiempo, sin cerrar esa puerta.</w:t>
      </w:r>
    </w:p>
    <w:p>
      <w:pPr>
        <w:pStyle w:val="Heading1"/>
        <w:pageBreakBefore/>
        <w:spacing w:after="200" w:before="480"/>
      </w:pPr>
      <w:r>
        <w:rPr>
          <w:b/>
          <w:bCs/>
          <w:color w:val="0F766E"/>
        </w:rPr>
        <w:t xml:space="preserve">4. Datasets candidatos (Paso 2-3 del taller)</w:t>
      </w:r>
    </w:p>
    <w:p>
      <w:pPr>
        <w:spacing w:after="150" w:line="300"/>
      </w:pPr>
      <w:r>
        <w:t xml:space="preserve">Los tres datasets siguientes son reales, públicos y verificados; se evalúan aquí con la misma rúbrica de 5 criterios del taller de selección de dataset como punto de partida (el grupo debe confirmar y documentar su propia evaluación formal en la plantilla del taller).</w:t>
      </w:r>
    </w:p>
    <w:p>
      <w:pPr>
        <w:pStyle w:val="Heading2"/>
        <w:spacing w:after="140" w:before="300"/>
      </w:pPr>
      <w:r>
        <w:rPr>
          <w:b/>
          <w:bCs/>
          <w:color w:val="1F2937"/>
        </w:rPr>
        <w:t xml:space="preserve">1. Individual Household Electric Power Consumption (UCI)</w:t>
      </w:r>
    </w:p>
    <w:p>
      <w:pPr>
        <w:spacing w:after="150" w:line="300"/>
      </w:pPr>
      <w:r>
        <w:t xml:space="preserve">2,075,259 mediciones minuto a minuto de un hogar en Sceaux (cerca de París, Francia), entre diciembre de 2006 y noviembre de 2010 (~47 meses). Incluye potencia activa/reactiva, voltaje, intensidad y tres sub-medidores por grupo de electrodomésticos (cocina; lavandería/refrigerador; agua caliente/aire acondicionado). ~1.25% de valores faltantes, documentado. Licencia CC BY 4.0.</w:t>
      </w:r>
    </w:p>
    <w:p>
      <w:pPr>
        <w:spacing w:after="150"/>
      </w:pPr>
      <w:r>
        <w:rPr>
          <w:b/>
          <w:bCs/>
        </w:rPr>
        <w:t xml:space="preserve">Fuente: </w:t>
      </w:r>
      <w:hyperlink w:history="1" r:id="rIdy7m-rukbldccgyfw334uk">
        <w:r>
          <w:rPr>
            <w:color w:val="1D4ED8"/>
            <w:u w:val="single"/>
          </w:rPr>
          <w:t xml:space="preserve">https://archive.ics.uci.edu/dataset/235/individual</w:t>
        </w:r>
      </w:hyperlink>
    </w:p>
    <w:p>
      <w:pPr>
        <w:pStyle w:val="Heading2"/>
        <w:spacing w:after="140" w:before="300"/>
      </w:pPr>
      <w:r>
        <w:rPr>
          <w:b/>
          <w:bCs/>
          <w:color w:val="1F2937"/>
        </w:rPr>
        <w:t xml:space="preserve">2. Appliances Energy Prediction (UCI / Kaggle)</w:t>
      </w:r>
    </w:p>
    <w:p>
      <w:pPr>
        <w:spacing w:after="150" w:line="300"/>
      </w:pPr>
      <w:r>
        <w:t xml:space="preserve">19,735 filas, 29 columnas, intervalos de 10 minutos durante ~4.5 meses. Sensores ZigBee de temperatura y humedad en 9 habitaciones de una vivienda de bajo consumo (Bélgica) más variables climáticas de una estación cercana (temperatura, presión, humedad, viento, visibilidad). El dataset más rico en variables de las tres opciones, aunque limitado a una sola vivienda y un periodo corto.</w:t>
      </w:r>
    </w:p>
    <w:p>
      <w:pPr>
        <w:spacing w:after="150"/>
      </w:pPr>
      <w:r>
        <w:rPr>
          <w:b/>
          <w:bCs/>
        </w:rPr>
        <w:t xml:space="preserve">Fuente: </w:t>
      </w:r>
      <w:hyperlink w:history="1" r:id="rIdg16wgvyv-zapjdh4kdsln">
        <w:r>
          <w:rPr>
            <w:color w:val="1D4ED8"/>
            <w:u w:val="single"/>
          </w:rPr>
          <w:t xml:space="preserve">https://archive.ics.uci.edu/dataset/374/appliances+energy+prediction</w:t>
        </w:r>
      </w:hyperlink>
    </w:p>
    <w:p>
      <w:pPr>
        <w:pStyle w:val="Heading2"/>
        <w:spacing w:after="140" w:before="300"/>
      </w:pPr>
      <w:r>
        <w:rPr>
          <w:b/>
          <w:bCs/>
          <w:color w:val="1F2937"/>
        </w:rPr>
        <w:t xml:space="preserve">3. Smart Home Dataset with Weather Information (Kaggle)</w:t>
      </w:r>
    </w:p>
    <w:p>
      <w:pPr>
        <w:spacing w:after="150" w:line="300"/>
      </w:pPr>
      <w:r>
        <w:t xml:space="preserve">Más de 500,000 lecturas minuto a minuto durante 350 días (2016), con consumo (kW) desglosado por electrodoméstico/habitación desde un medidor inteligente, más condiciones climáticas de la zona. Es el más grande y el que más directamente calza con la narrativa "smart home", aunque al ser un dataset de la comunidad de Kaggle (no una entidad académica) requiere más limpieza previa que los otros dos.</w:t>
      </w:r>
    </w:p>
    <w:p>
      <w:pPr>
        <w:spacing w:after="150"/>
      </w:pPr>
      <w:r>
        <w:rPr>
          <w:b/>
          <w:bCs/>
        </w:rPr>
        <w:t xml:space="preserve">Fuente: </w:t>
      </w:r>
      <w:hyperlink w:history="1" r:id="rIdlflzdnksaqqumuv7ty4nr">
        <w:r>
          <w:rPr>
            <w:color w:val="1D4ED8"/>
            <w:u w:val="single"/>
          </w:rPr>
          <w:t xml:space="preserve">https://www.kaggle.com/datasets/taranvee/smart-home-dataset-with-weather-information</w:t>
        </w:r>
      </w:hyperlink>
    </w:p>
    <w:p>
      <w:pPr>
        <w:pStyle w:val="Heading2"/>
        <w:spacing w:after="140" w:before="300"/>
      </w:pPr>
      <w:r>
        <w:rPr>
          <w:b/>
          <w:bCs/>
          <w:color w:val="1F2937"/>
        </w:rPr>
        <w:t xml:space="preserve">Evaluación preliminar (rúbrica de 5 criterios)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50"/>
        <w:gridCol w:w="2150"/>
        <w:gridCol w:w="2150"/>
        <w:gridCol w:w="2150"/>
      </w:tblGrid>
      <w:tr>
        <w:trPr>
          <w:tblHeader/>
        </w:trPr>
        <w:tc>
          <w:tcPr>
            <w:tcW w:type="dxa" w:w="2450"/>
            <w:shd w:fill="0F766E" w:val="clear"/>
            <w:tcMar>
              <w:top w:type="dxa" w:w="90"/>
              <w:left w:type="dxa" w:w="110"/>
              <w:bottom w:type="dxa" w:w="90"/>
              <w:right w:type="dxa" w:w="110"/>
            </w:tcMar>
            <w:vAlign w:val="center"/>
          </w:tcPr>
          <w:p>
            <w:pPr>
              <w:jc w:val="left"/>
            </w:pPr>
            <w:r>
              <w:rPr>
                <w:b/>
                <w:bCs/>
                <w:color w:val="FFFFFF"/>
                <w:sz w:val="19"/>
                <w:szCs w:val="19"/>
              </w:rPr>
              <w:t xml:space="preserve">Criterio</w:t>
            </w:r>
          </w:p>
        </w:tc>
        <w:tc>
          <w:tcPr>
            <w:tcW w:type="dxa" w:w="2150"/>
            <w:shd w:fill="0F766E" w:val="clear"/>
            <w:tcMar>
              <w:top w:type="dxa" w:w="90"/>
              <w:left w:type="dxa" w:w="110"/>
              <w:bottom w:type="dxa" w:w="90"/>
              <w:right w:type="dxa" w:w="110"/>
            </w:tcMar>
            <w:vAlign w:val="center"/>
          </w:tcPr>
          <w:p>
            <w:pPr>
              <w:jc w:val="left"/>
            </w:pPr>
            <w:r>
              <w:rPr>
                <w:b/>
                <w:bCs/>
                <w:color w:val="FFFFFF"/>
                <w:sz w:val="19"/>
                <w:szCs w:val="19"/>
              </w:rPr>
              <w:t xml:space="preserve">1 · UCI Household</w:t>
            </w:r>
          </w:p>
        </w:tc>
        <w:tc>
          <w:tcPr>
            <w:tcW w:type="dxa" w:w="2150"/>
            <w:shd w:fill="0F766E" w:val="clear"/>
            <w:tcMar>
              <w:top w:type="dxa" w:w="90"/>
              <w:left w:type="dxa" w:w="110"/>
              <w:bottom w:type="dxa" w:w="90"/>
              <w:right w:type="dxa" w:w="110"/>
            </w:tcMar>
            <w:vAlign w:val="center"/>
          </w:tcPr>
          <w:p>
            <w:pPr>
              <w:jc w:val="left"/>
            </w:pPr>
            <w:r>
              <w:rPr>
                <w:b/>
                <w:bCs/>
                <w:color w:val="FFFFFF"/>
                <w:sz w:val="19"/>
                <w:szCs w:val="19"/>
              </w:rPr>
              <w:t xml:space="preserve">2 · Appliances Energy</w:t>
            </w:r>
          </w:p>
        </w:tc>
        <w:tc>
          <w:tcPr>
            <w:tcW w:type="dxa" w:w="2150"/>
            <w:shd w:fill="0F766E" w:val="clear"/>
            <w:tcMar>
              <w:top w:type="dxa" w:w="90"/>
              <w:left w:type="dxa" w:w="110"/>
              <w:bottom w:type="dxa" w:w="90"/>
              <w:right w:type="dxa" w:w="110"/>
            </w:tcMar>
            <w:vAlign w:val="center"/>
          </w:tcPr>
          <w:p>
            <w:pPr>
              <w:jc w:val="left"/>
            </w:pPr>
            <w:r>
              <w:rPr>
                <w:b/>
                <w:bCs/>
                <w:color w:val="FFFFFF"/>
                <w:sz w:val="19"/>
                <w:szCs w:val="19"/>
              </w:rPr>
              <w:t xml:space="preserve">3 · Smart Home + Weather</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Tamaño del dataset</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más de 2 millones de filas</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19,735 filas (&gt;10,000)</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más de 500,000 filas</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Variables útiles</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4 — consumo + sub-metering, sin ocupación/clima directo</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29 variables: 9 habitaciones + clima</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por electrodoméstico/habitación + clima</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Calidad de los datos</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4 — bien documentado, ~1.25% de nulos</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4 — muy validado en literatura, pero una sola vivienda y periodo corto</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3 — dataset de comunidad, requiere más limpieza</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Accesibilidad</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UCI, público, CC BY 4.0</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UCI y Kaggle, público</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5 — Kaggle, público</w:t>
            </w:r>
          </w:p>
        </w:tc>
      </w:tr>
      <w:tr>
        <w:tc>
          <w:tcPr>
            <w:tcW w:type="dxa" w:w="2450"/>
            <w:tcMar>
              <w:top w:type="dxa" w:w="90"/>
              <w:left w:type="dxa" w:w="110"/>
              <w:bottom w:type="dxa" w:w="90"/>
              <w:right w:type="dxa" w:w="110"/>
            </w:tcMar>
            <w:vAlign w:val="center"/>
          </w:tcPr>
          <w:p>
            <w:pPr>
              <w:jc w:val="left"/>
            </w:pPr>
            <w:r>
              <w:rPr>
                <w:b w:val="false"/>
                <w:bCs w:val="false"/>
                <w:color w:val="1F2937"/>
                <w:sz w:val="19"/>
                <w:szCs w:val="19"/>
              </w:rPr>
              <w:t xml:space="preserve">Formato y estructura</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CSV/TXT bien estructurado</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5 — CSV bien estructurado</w:t>
            </w:r>
          </w:p>
        </w:tc>
        <w:tc>
          <w:tcPr>
            <w:tcW w:type="dxa" w:w="2150"/>
            <w:tcMar>
              <w:top w:type="dxa" w:w="90"/>
              <w:left w:type="dxa" w:w="110"/>
              <w:bottom w:type="dxa" w:w="90"/>
              <w:right w:type="dxa" w:w="110"/>
            </w:tcMar>
            <w:vAlign w:val="center"/>
          </w:tcPr>
          <w:p>
            <w:pPr>
              <w:jc w:val="left"/>
            </w:pPr>
            <w:r>
              <w:rPr>
                <w:b w:val="false"/>
                <w:bCs w:val="false"/>
                <w:color w:val="1F2937"/>
                <w:sz w:val="19"/>
                <w:szCs w:val="19"/>
              </w:rPr>
              <w:t xml:space="preserve">4 — CSV, columnas menos estandarizadas</w:t>
            </w:r>
          </w:p>
        </w:tc>
      </w:tr>
      <w:tr>
        <w:tc>
          <w:tcPr>
            <w:tcW w:type="dxa" w:w="24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TOTAL (/25)</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23</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24</w:t>
            </w:r>
          </w:p>
        </w:tc>
        <w:tc>
          <w:tcPr>
            <w:tcW w:type="dxa" w:w="21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22</w:t>
            </w:r>
          </w:p>
        </w:tc>
      </w:tr>
    </w:tbl>
    <w:p>
      <w:pPr>
        <w:spacing w:after="150" w:line="300"/>
      </w:pPr>
      <w:r>
        <w:rPr>
          <w:i/>
          <w:iCs/>
          <w:color w:val="6B7280"/>
        </w:rPr>
        <w:t xml:space="preserve">Los tres superan cómodamente el umbral de la rúbrica del taller. Para la Propuesta B (Shiro Twin) en particular, usar más de uno en paralelo es válido y hasta deseable, dado que el objetivo ahí es comparar el comportamiento del agente ante distintas fuentes.</w:t>
      </w:r>
    </w:p>
    <w:p>
      <w:pPr>
        <w:pStyle w:val="Heading1"/>
        <w:pageBreakBefore/>
        <w:spacing w:after="200" w:before="480"/>
      </w:pPr>
      <w:r>
        <w:rPr>
          <w:b/>
          <w:bCs/>
          <w:color w:val="0F766E"/>
        </w:rPr>
        <w:t xml:space="preserve">5. Hoja de ruta sugerida por corte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7800"/>
      </w:tblGrid>
      <w:tr>
        <w:trPr>
          <w:tblHeader/>
        </w:trPr>
        <w:tc>
          <w:tcPr>
            <w:tcW w:type="dxa" w:w="1550"/>
            <w:shd w:fill="0F766E" w:val="clear"/>
            <w:tcMar>
              <w:top w:type="dxa" w:w="90"/>
              <w:left w:type="dxa" w:w="110"/>
              <w:bottom w:type="dxa" w:w="90"/>
              <w:right w:type="dxa" w:w="110"/>
            </w:tcMar>
            <w:vAlign w:val="center"/>
          </w:tcPr>
          <w:p>
            <w:pPr>
              <w:jc w:val="left"/>
            </w:pPr>
            <w:r>
              <w:rPr>
                <w:b/>
                <w:bCs/>
                <w:color w:val="FFFFFF"/>
                <w:sz w:val="19"/>
                <w:szCs w:val="19"/>
              </w:rPr>
              <w:t xml:space="preserve">Corte</w:t>
            </w:r>
          </w:p>
        </w:tc>
        <w:tc>
          <w:tcPr>
            <w:tcW w:type="dxa" w:w="7800"/>
            <w:shd w:fill="0F766E" w:val="clear"/>
            <w:tcMar>
              <w:top w:type="dxa" w:w="90"/>
              <w:left w:type="dxa" w:w="110"/>
              <w:bottom w:type="dxa" w:w="90"/>
              <w:right w:type="dxa" w:w="110"/>
            </w:tcMar>
            <w:vAlign w:val="center"/>
          </w:tcPr>
          <w:p>
            <w:pPr>
              <w:jc w:val="left"/>
            </w:pPr>
            <w:r>
              <w:rPr>
                <w:b/>
                <w:bCs/>
                <w:color w:val="FFFFFF"/>
                <w:sz w:val="19"/>
                <w:szCs w:val="19"/>
              </w:rPr>
              <w:t xml:space="preserve">Entregables</w:t>
            </w:r>
          </w:p>
        </w:tc>
      </w:tr>
      <w:tr>
        <w:tc>
          <w:tcPr>
            <w:tcW w:type="dxa" w:w="1550"/>
            <w:tcMar>
              <w:top w:type="dxa" w:w="90"/>
              <w:left w:type="dxa" w:w="110"/>
              <w:bottom w:type="dxa" w:w="90"/>
              <w:right w:type="dxa" w:w="110"/>
            </w:tcMar>
            <w:vAlign w:val="center"/>
          </w:tcPr>
          <w:p>
            <w:pPr>
              <w:jc w:val="left"/>
            </w:pPr>
            <w:r>
              <w:rPr>
                <w:b w:val="false"/>
                <w:bCs w:val="false"/>
                <w:color w:val="1F2937"/>
                <w:sz w:val="19"/>
                <w:szCs w:val="19"/>
              </w:rPr>
              <w:t xml:space="preserve">1er corte
(Septiembre)</w:t>
            </w:r>
          </w:p>
        </w:tc>
        <w:tc>
          <w:tcPr>
            <w:tcW w:type="dxa" w:w="7800"/>
            <w:tcMar>
              <w:top w:type="dxa" w:w="90"/>
              <w:left w:type="dxa" w:w="110"/>
              <w:bottom w:type="dxa" w:w="90"/>
              <w:right w:type="dxa" w:w="110"/>
            </w:tcMar>
            <w:vAlign w:val="center"/>
          </w:tcPr>
          <w:p>
            <w:pPr>
              <w:jc w:val="left"/>
            </w:pPr>
            <w:r>
              <w:rPr>
                <w:b w:val="false"/>
                <w:bCs w:val="false"/>
                <w:color w:val="1F2937"/>
                <w:sz w:val="19"/>
                <w:szCs w:val="19"/>
              </w:rPr>
              <w:t xml:space="preserve">Aplicar el taller de selección de dataset (plantilla ya elaborada) para fijar la fuente definitiva; análisis exploratorio de datos (EDA); primer modelo de regresión (predicción de consumo) y uno de clasificación (detección de anomalía simple). Entregable: notebook + informe corto.</w:t>
            </w:r>
          </w:p>
        </w:tc>
      </w:tr>
      <w:tr>
        <w:tc>
          <w:tcPr>
            <w:tcW w:type="dxa" w:w="155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2do corte
(Octubre)</w:t>
            </w:r>
          </w:p>
        </w:tc>
        <w:tc>
          <w:tcPr>
            <w:tcW w:type="dxa" w:w="7800"/>
            <w:shd w:fill="E6F4F1" w:val="clear"/>
            <w:tcMar>
              <w:top w:type="dxa" w:w="90"/>
              <w:left w:type="dxa" w:w="110"/>
              <w:bottom w:type="dxa" w:w="90"/>
              <w:right w:type="dxa" w:w="110"/>
            </w:tcMar>
            <w:vAlign w:val="center"/>
          </w:tcPr>
          <w:p>
            <w:pPr>
              <w:jc w:val="left"/>
            </w:pPr>
            <w:r>
              <w:rPr>
                <w:b w:val="false"/>
                <w:bCs w:val="false"/>
                <w:color w:val="1F2937"/>
                <w:sz w:val="19"/>
                <w:szCs w:val="19"/>
              </w:rPr>
              <w:t xml:space="preserve">Clustering de patrones de uso (K-means / jerárquico / DBSCAN); formalización explícita del MDP (estados, acciones, recompensa); construcción del entorno de simulación; primer agente de Q-learning tabular funcionando sobre el gemelo digital.</w:t>
            </w:r>
          </w:p>
        </w:tc>
      </w:tr>
      <w:tr>
        <w:tc>
          <w:tcPr>
            <w:tcW w:type="dxa" w:w="1550"/>
            <w:tcMar>
              <w:top w:type="dxa" w:w="90"/>
              <w:left w:type="dxa" w:w="110"/>
              <w:bottom w:type="dxa" w:w="90"/>
              <w:right w:type="dxa" w:w="110"/>
            </w:tcMar>
            <w:vAlign w:val="center"/>
          </w:tcPr>
          <w:p>
            <w:pPr>
              <w:jc w:val="left"/>
            </w:pPr>
            <w:r>
              <w:rPr>
                <w:b w:val="false"/>
                <w:bCs w:val="false"/>
                <w:color w:val="1F2937"/>
                <w:sz w:val="19"/>
                <w:szCs w:val="19"/>
              </w:rPr>
              <w:t xml:space="preserve">3er corte
(Noviembre)</w:t>
            </w:r>
          </w:p>
        </w:tc>
        <w:tc>
          <w:tcPr>
            <w:tcW w:type="dxa" w:w="7800"/>
            <w:tcMar>
              <w:top w:type="dxa" w:w="90"/>
              <w:left w:type="dxa" w:w="110"/>
              <w:bottom w:type="dxa" w:w="90"/>
              <w:right w:type="dxa" w:w="110"/>
            </w:tcMar>
            <w:vAlign w:val="center"/>
          </w:tcPr>
          <w:p>
            <w:pPr>
              <w:jc w:val="left"/>
            </w:pPr>
            <w:r>
              <w:rPr>
                <w:b w:val="false"/>
                <w:bCs w:val="false"/>
                <w:color w:val="1F2937"/>
                <w:sz w:val="19"/>
                <w:szCs w:val="19"/>
              </w:rPr>
              <w:t xml:space="preserve">Deep Q-learning si el entorno se vuelve continuo/más rico; integración conceptual con la arquitectura de Shiro (diseño de las interfaces `IDeviceModule`/eventos del bus, así sea como mockup — no necesariamente código de producción); informe final y demo; opcionalmente, borrador de ADR para Proyecto Shiro si el equipo decide llevar la propuesta al repo real después del semestre.</w:t>
            </w:r>
          </w:p>
        </w:tc>
      </w:tr>
    </w:tbl>
    <w:p>
      <w:pPr>
        <w:pStyle w:val="Heading1"/>
        <w:pageBreakBefore/>
        <w:spacing w:after="200" w:before="480"/>
      </w:pPr>
      <w:r>
        <w:rPr>
          <w:b/>
          <w:bCs/>
          <w:color w:val="0F766E"/>
        </w:rPr>
        <w:t xml:space="preserve">6. Qué falta para llevarlo al repo real de Shiro</w:t>
      </w:r>
    </w:p>
    <w:p>
      <w:pPr>
        <w:spacing w:after="150" w:line="300"/>
      </w:pPr>
      <w:r>
        <w:t xml:space="preserve">Fuera del alcance de este curso — para que quede claro que el entregable del semestre es la base sólida (modelos, datos, arquitectura validada en simulación), no el producto terminado:</w:t>
      </w:r>
    </w:p>
    <w:p>
      <w:pPr>
        <w:pStyle w:val="ListParagraph"/>
        <w:numPr>
          <w:ilvl w:val="0"/>
          <w:numId w:val="1"/>
        </w:numPr>
        <w:spacing w:after="90" w:line="280"/>
      </w:pPr>
      <w:r>
        <w:t xml:space="preserve">Escribir el ADR formal que exige `CLAUDE.md` antes de implementar algo que toca varios módulos e introduce dependencias nuevas (microservicio Python, librería de RL).</w:t>
      </w:r>
    </w:p>
    <w:p>
      <w:pPr>
        <w:pStyle w:val="ListParagraph"/>
        <w:numPr>
          <w:ilvl w:val="0"/>
          <w:numId w:val="1"/>
        </w:numPr>
        <w:spacing w:after="90" w:line="280"/>
      </w:pPr>
      <w:r>
        <w:t xml:space="preserve">Implementar `MQTTTransport` real (hoy solo existe `InProcessTransport`).</w:t>
      </w:r>
    </w:p>
    <w:p>
      <w:pPr>
        <w:pStyle w:val="ListParagraph"/>
        <w:numPr>
          <w:ilvl w:val="0"/>
          <w:numId w:val="1"/>
        </w:numPr>
        <w:spacing w:after="90" w:line="280"/>
      </w:pPr>
      <w:r>
        <w:t xml:space="preserve">Decidir e implementar el/los primeros `IDeviceModule` concretos contra hardware real.</w:t>
      </w:r>
    </w:p>
    <w:p>
      <w:pPr>
        <w:pStyle w:val="ListParagraph"/>
        <w:numPr>
          <w:ilvl w:val="0"/>
          <w:numId w:val="1"/>
        </w:numPr>
        <w:spacing w:after="90" w:line="280"/>
      </w:pPr>
      <w:r>
        <w:t xml:space="preserve">Conseguir hardware real (enchufes inteligentes, sensores de temperatura/ocupación) si se sigue por la Propuesta A.</w:t>
      </w:r>
    </w:p>
    <w:p>
      <w:pPr>
        <w:pStyle w:val="ListParagraph"/>
        <w:numPr>
          <w:ilvl w:val="0"/>
          <w:numId w:val="1"/>
        </w:numPr>
        <w:spacing w:after="90" w:line="280"/>
      </w:pPr>
      <w:r>
        <w:t xml:space="preserve">Extender el `ApprovalGate` —hoy usado para archivos y comandos— a acciones sobre dispositivos físicos.</w:t>
      </w:r>
    </w:p>
    <w:p>
      <w:pPr>
        <w:spacing w:after="150" w:line="300"/>
      </w:pPr>
      <w:r>
        <w:rPr>
          <w:i/>
          <w:iCs/>
          <w:color w:val="6B7280"/>
        </w:rPr>
        <w:t xml:space="preserve">Nada de esto bloquea el proyecto del curso: las tres propuestas están diseñadas para producir un resultado académico completo y evaluable sin necesitar ninguno de estos pasos.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7m-rukbldccgyfw334uk" Type="http://schemas.openxmlformats.org/officeDocument/2006/relationships/hyperlink" Target="https://archive.ics.uci.edu/dataset/235/individual" TargetMode="External"/><Relationship Id="rIdg16wgvyv-zapjdh4kdsln" Type="http://schemas.openxmlformats.org/officeDocument/2006/relationships/hyperlink" Target="https://archive.ics.uci.edu/dataset/374/appliances+energy+prediction" TargetMode="External"/><Relationship Id="rIdlflzdnksaqqumuv7ty4nr" Type="http://schemas.openxmlformats.org/officeDocument/2006/relationships/hyperlink" Target="https://www.kaggle.com/datasets/taranvee/smart-home-dataset-with-weather-informa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2026-08-05T17:42:28.913Z</dcterms:created>
  <dcterms:modified xsi:type="dcterms:W3CDTF">2026-08-05T17:42:28.915Z</dcterms:modified>
</cp:coreProperties>
</file>

<file path=docProps/custom.xml><?xml version="1.0" encoding="utf-8"?>
<Properties xmlns="http://schemas.openxmlformats.org/officeDocument/2006/custom-properties" xmlns:vt="http://schemas.openxmlformats.org/officeDocument/2006/docPropsVTypes"/>
</file>