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280"/>
          <w:sz w:val="20"/>
          <w:szCs w:val="20"/>
        </w:rPr>
        <w:t xml:space="preserve">APRENDIZAJE DE MÁQUINA — PLAN UNIFICADO DE PROYECTO</w:t>
      </w:r>
    </w:p>
    <w:p>
      <w:pPr>
        <w:spacing w:after="60"/>
      </w:pPr>
      <w:r>
        <w:rPr>
          <w:b/>
          <w:bCs/>
          <w:color w:val="0F766E"/>
          <w:sz w:val="38"/>
          <w:szCs w:val="38"/>
        </w:rPr>
        <w:t xml:space="preserve">Shiro + IoT: de Shiro Twin a Shiro Home</w:t>
      </w:r>
    </w:p>
    <w:p>
      <w:pPr>
        <w:spacing w:after="220"/>
      </w:pPr>
      <w:r>
        <w:rPr>
          <w:i/>
          <w:iCs/>
          <w:color w:val="6B7280"/>
          <w:sz w:val="22"/>
          <w:szCs w:val="22"/>
        </w:rPr>
        <w:t xml:space="preserve">Una sola trayectoria en fases — no tres propuestas a elegir, sino una secuencia</w:t>
      </w:r>
    </w:p>
    <w:p>
      <w:pPr>
        <w:spacing w:after="80"/>
      </w:pPr>
      <w:r>
        <w:rPr>
          <w:b/>
          <w:bCs/>
        </w:rPr>
        <w:t xml:space="preserve">Sector asignado: </w:t>
      </w:r>
      <w:r>
        <w:t xml:space="preserve">Energía y Medio Ambiente (temática IoT)</w:t>
      </w:r>
    </w:p>
    <w:p>
      <w:pPr>
        <w:spacing w:after="80"/>
      </w:pPr>
      <w:r>
        <w:rPr>
          <w:b/>
          <w:bCs/>
        </w:rPr>
        <w:t xml:space="preserve">Proyecto de origen: </w:t>
      </w:r>
      <w:r>
        <w:t xml:space="preserve">Proyecto Shiro — AI companion modular (packages/core, core-host, desktop)</w:t>
      </w:r>
    </w:p>
    <w:p>
      <w:pPr>
        <w:pBdr>
          <w:bottom w:val="single" w:color="0F766E" w:sz="6"/>
        </w:pBdr>
        <w:spacing w:after="200" w:before="100"/>
      </w:pPr>
    </w:p>
    <w:p>
      <w:pPr>
        <w:spacing w:after="150" w:line="300"/>
      </w:pPr>
      <w:r>
        <w:t xml:space="preserve">Este documento consolida las tres propuestas exploradas en “Propuesta_Shiro_IoT.docx” (Shiro Home, Shiro Twin, Shiro Guardian) en un solo plan secuencial. Ya no son alternativas entre las que elegir: son fases de un mismo proyecto, cada una construida sobre los artefactos de la anterior.</w:t>
      </w:r>
    </w:p>
    <w:p>
      <w:pPr>
        <w:pBdr>
          <w:left w:val="single" w:color="1D4ED8" w:sz="24"/>
        </w:pBdr>
        <w:shd w:fill="E8EEFB" w:val="clear"/>
        <w:spacing w:after="220" w:before="140"/>
      </w:pPr>
      <w:r>
        <w:rPr>
          <w:i/>
          <w:iCs/>
          <w:color w:val="1F2937"/>
          <w:sz w:val="20"/>
          <w:szCs w:val="20"/>
        </w:rPr>
        <w:t xml:space="preserve">  Idea central: Shiro Twin es el objetivo formal del curso — el entregable que se evalúa en los 3 cortes. Shiro Guardian es un stretch goal: solo se activa si Twin queda listo con tiempo de sobra dentro del semestre. Shiro Home es el proyecto post-curso — la meta de largo plazo que le da sentido a todo lo anterior, pero que requiere pasos (ADR formal, hardware) fuera del alcance de la materia.</w:t>
      </w:r>
    </w:p>
    <w:p>
      <w:pPr>
        <w:pStyle w:val="Heading1"/>
        <w:spacing w:after="200" w:before="480"/>
      </w:pPr>
      <w:r>
        <w:rPr>
          <w:b/>
          <w:bCs/>
          <w:color w:val="0F766E"/>
        </w:rPr>
        <w:t xml:space="preserve">1. Resumen del plan en una tabla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2050"/>
        <w:gridCol w:w="2900"/>
        <w:gridCol w:w="2950"/>
      </w:tblGrid>
      <w:tr>
        <w:trPr>
          <w:tblHeader/>
        </w:trPr>
        <w:tc>
          <w:tcPr>
            <w:tcW w:type="dxa" w:w="1450"/>
            <w:shd w:fill="0F766E" w:val="clear"/>
            <w:tcMar>
              <w:top w:type="dxa" w:w="90"/>
              <w:left w:type="dxa" w:w="110"/>
              <w:bottom w:type="dxa" w:w="90"/>
              <w:right w:type="dxa" w:w="110"/>
            </w:tcMar>
            <w:vAlign w:val="center"/>
          </w:tcPr>
          <w:p>
            <w:pPr>
              <w:jc w:val="left"/>
            </w:pPr>
            <w:r>
              <w:rPr>
                <w:b/>
                <w:bCs/>
                <w:color w:val="FFFFFF"/>
                <w:sz w:val="19"/>
                <w:szCs w:val="19"/>
              </w:rPr>
              <w:t xml:space="preserve">Fase</w:t>
            </w:r>
          </w:p>
        </w:tc>
        <w:tc>
          <w:tcPr>
            <w:tcW w:type="dxa" w:w="2050"/>
            <w:shd w:fill="0F766E" w:val="clear"/>
            <w:tcMar>
              <w:top w:type="dxa" w:w="90"/>
              <w:left w:type="dxa" w:w="110"/>
              <w:bottom w:type="dxa" w:w="90"/>
              <w:right w:type="dxa" w:w="110"/>
            </w:tcMar>
            <w:vAlign w:val="center"/>
          </w:tcPr>
          <w:p>
            <w:pPr>
              <w:jc w:val="left"/>
            </w:pPr>
            <w:r>
              <w:rPr>
                <w:b/>
                <w:bCs/>
                <w:color w:val="FFFFFF"/>
                <w:sz w:val="19"/>
                <w:szCs w:val="19"/>
              </w:rPr>
              <w:t xml:space="preserve">Cuándo</w:t>
            </w:r>
          </w:p>
        </w:tc>
        <w:tc>
          <w:tcPr>
            <w:tcW w:type="dxa" w:w="2900"/>
            <w:shd w:fill="0F766E" w:val="clear"/>
            <w:tcMar>
              <w:top w:type="dxa" w:w="90"/>
              <w:left w:type="dxa" w:w="110"/>
              <w:bottom w:type="dxa" w:w="90"/>
              <w:right w:type="dxa" w:w="110"/>
            </w:tcMar>
            <w:vAlign w:val="center"/>
          </w:tcPr>
          <w:p>
            <w:pPr>
              <w:jc w:val="left"/>
            </w:pPr>
            <w:r>
              <w:rPr>
                <w:b/>
                <w:bCs/>
                <w:color w:val="FFFFFF"/>
                <w:sz w:val="19"/>
                <w:szCs w:val="19"/>
              </w:rPr>
              <w:t xml:space="preserve">Objetivo</w:t>
            </w:r>
          </w:p>
        </w:tc>
        <w:tc>
          <w:tcPr>
            <w:tcW w:type="dxa" w:w="2950"/>
            <w:shd w:fill="0F766E" w:val="clear"/>
            <w:tcMar>
              <w:top w:type="dxa" w:w="90"/>
              <w:left w:type="dxa" w:w="110"/>
              <w:bottom w:type="dxa" w:w="90"/>
              <w:right w:type="dxa" w:w="110"/>
            </w:tcMar>
            <w:vAlign w:val="center"/>
          </w:tcPr>
          <w:p>
            <w:pPr>
              <w:jc w:val="left"/>
            </w:pPr>
            <w:r>
              <w:rPr>
                <w:b/>
                <w:bCs/>
                <w:color w:val="FFFFFF"/>
                <w:sz w:val="19"/>
                <w:szCs w:val="19"/>
              </w:rPr>
              <w:t xml:space="preserve">Qué reutiliza de la fase anterior</w:t>
            </w:r>
          </w:p>
        </w:tc>
      </w:tr>
      <w:tr>
        <w:tc>
          <w:tcPr>
            <w:tcW w:type="dxa" w:w="1450"/>
            <w:tcMar>
              <w:top w:type="dxa" w:w="90"/>
              <w:left w:type="dxa" w:w="110"/>
              <w:bottom w:type="dxa" w:w="90"/>
              <w:right w:type="dxa" w:w="110"/>
            </w:tcMar>
            <w:vAlign w:val="center"/>
          </w:tcPr>
          <w:p>
            <w:pPr>
              <w:jc w:val="left"/>
            </w:pPr>
            <w:r>
              <w:rPr>
                <w:b w:val="false"/>
                <w:bCs w:val="false"/>
                <w:color w:val="1F2937"/>
                <w:sz w:val="19"/>
                <w:szCs w:val="19"/>
              </w:rPr>
              <w:t xml:space="preserve">1 · Shiro Twin</w:t>
            </w:r>
          </w:p>
        </w:tc>
        <w:tc>
          <w:tcPr>
            <w:tcW w:type="dxa" w:w="2050"/>
            <w:tcMar>
              <w:top w:type="dxa" w:w="90"/>
              <w:left w:type="dxa" w:w="110"/>
              <w:bottom w:type="dxa" w:w="90"/>
              <w:right w:type="dxa" w:w="110"/>
            </w:tcMar>
            <w:vAlign w:val="center"/>
          </w:tcPr>
          <w:p>
            <w:pPr>
              <w:jc w:val="left"/>
            </w:pPr>
            <w:r>
              <w:rPr>
                <w:b w:val="false"/>
                <w:bCs w:val="false"/>
                <w:color w:val="1F2937"/>
                <w:sz w:val="19"/>
                <w:szCs w:val="19"/>
              </w:rPr>
              <w:t xml:space="preserve">Cortes 1-3 (obligatoria, es la materia)</w:t>
            </w:r>
          </w:p>
        </w:tc>
        <w:tc>
          <w:tcPr>
            <w:tcW w:type="dxa" w:w="2900"/>
            <w:tcMar>
              <w:top w:type="dxa" w:w="90"/>
              <w:left w:type="dxa" w:w="110"/>
              <w:bottom w:type="dxa" w:w="90"/>
              <w:right w:type="dxa" w:w="110"/>
            </w:tcMar>
            <w:vAlign w:val="center"/>
          </w:tcPr>
          <w:p>
            <w:pPr>
              <w:jc w:val="left"/>
            </w:pPr>
            <w:r>
              <w:rPr>
                <w:b w:val="false"/>
                <w:bCs w:val="false"/>
                <w:color w:val="1F2937"/>
                <w:sz w:val="19"/>
                <w:szCs w:val="19"/>
              </w:rPr>
              <w:t xml:space="preserve">Entrenar y validar en simulación un agente que predice consumo, detecta patrones y aprende a optimizarlo (MDP/Q-learning/DQN) sobre un gemelo digital del hogar.</w:t>
            </w:r>
          </w:p>
        </w:tc>
        <w:tc>
          <w:tcPr>
            <w:tcW w:type="dxa" w:w="2950"/>
            <w:tcMar>
              <w:top w:type="dxa" w:w="90"/>
              <w:left w:type="dxa" w:w="110"/>
              <w:bottom w:type="dxa" w:w="90"/>
              <w:right w:type="dxa" w:w="110"/>
            </w:tcMar>
            <w:vAlign w:val="center"/>
          </w:tcPr>
          <w:p>
            <w:pPr>
              <w:jc w:val="left"/>
            </w:pPr>
            <w:r>
              <w:rPr>
                <w:b w:val="false"/>
                <w:bCs w:val="false"/>
                <w:color w:val="1F2937"/>
                <w:sz w:val="19"/>
                <w:szCs w:val="19"/>
              </w:rPr>
              <w:t xml:space="preserve">— (es la base: dataset, modelos y entorno de simulación).</w:t>
            </w:r>
          </w:p>
        </w:tc>
      </w:tr>
      <w:tr>
        <w:tc>
          <w:tcPr>
            <w:tcW w:type="dxa" w:w="1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2 · Shiro Guardian</w:t>
            </w:r>
          </w:p>
        </w:tc>
        <w:tc>
          <w:tcPr>
            <w:tcW w:type="dxa" w:w="20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Cola del 3er corte, solo si Twin cierra antes de tiempo — si no, primeros meses post-curso</w:t>
            </w:r>
          </w:p>
        </w:tc>
        <w:tc>
          <w:tcPr>
            <w:tcW w:type="dxa" w:w="2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Añadir una capa de clasificación de riesgo/anomalías y notificaciones proactivas sobre el mismo pipeline.</w:t>
            </w:r>
          </w:p>
        </w:tc>
        <w:tc>
          <w:tcPr>
            <w:tcW w:type="dxa" w:w="29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El dataset, los modelos supervisados/no supervisados y el agente ya entrenados en Twin — no se re-entrena desde cero.</w:t>
            </w:r>
          </w:p>
        </w:tc>
      </w:tr>
      <w:tr>
        <w:tc>
          <w:tcPr>
            <w:tcW w:type="dxa" w:w="1450"/>
            <w:tcMar>
              <w:top w:type="dxa" w:w="90"/>
              <w:left w:type="dxa" w:w="110"/>
              <w:bottom w:type="dxa" w:w="90"/>
              <w:right w:type="dxa" w:w="110"/>
            </w:tcMar>
            <w:vAlign w:val="center"/>
          </w:tcPr>
          <w:p>
            <w:pPr>
              <w:jc w:val="left"/>
            </w:pPr>
            <w:r>
              <w:rPr>
                <w:b w:val="false"/>
                <w:bCs w:val="false"/>
                <w:color w:val="1F2937"/>
                <w:sz w:val="19"/>
                <w:szCs w:val="19"/>
              </w:rPr>
              <w:t xml:space="preserve">3 · Shiro Home</w:t>
            </w:r>
          </w:p>
        </w:tc>
        <w:tc>
          <w:tcPr>
            <w:tcW w:type="dxa" w:w="2050"/>
            <w:tcMar>
              <w:top w:type="dxa" w:w="90"/>
              <w:left w:type="dxa" w:w="110"/>
              <w:bottom w:type="dxa" w:w="90"/>
              <w:right w:type="dxa" w:w="110"/>
            </w:tcMar>
            <w:vAlign w:val="center"/>
          </w:tcPr>
          <w:p>
            <w:pPr>
              <w:jc w:val="left"/>
            </w:pPr>
            <w:r>
              <w:rPr>
                <w:b w:val="false"/>
                <w:bCs w:val="false"/>
                <w:color w:val="1F2937"/>
                <w:sz w:val="19"/>
                <w:szCs w:val="19"/>
              </w:rPr>
              <w:t xml:space="preserve">Post-curso (requiere ADR formal + posible hardware)</w:t>
            </w:r>
          </w:p>
        </w:tc>
        <w:tc>
          <w:tcPr>
            <w:tcW w:type="dxa" w:w="2900"/>
            <w:tcMar>
              <w:top w:type="dxa" w:w="90"/>
              <w:left w:type="dxa" w:w="110"/>
              <w:bottom w:type="dxa" w:w="90"/>
              <w:right w:type="dxa" w:w="110"/>
            </w:tcMar>
            <w:vAlign w:val="center"/>
          </w:tcPr>
          <w:p>
            <w:pPr>
              <w:jc w:val="left"/>
            </w:pPr>
            <w:r>
              <w:rPr>
                <w:b w:val="false"/>
                <w:bCs w:val="false"/>
                <w:color w:val="1F2937"/>
                <w:sz w:val="19"/>
                <w:szCs w:val="19"/>
              </w:rPr>
              <w:t xml:space="preserve">Graduar el agente de un entorno simulado a dispositivos reales vía `MQTTTransport`/Home Assistant, con control efectivo (bajo aprobación humana).</w:t>
            </w:r>
          </w:p>
        </w:tc>
        <w:tc>
          <w:tcPr>
            <w:tcW w:type="dxa" w:w="2950"/>
            <w:tcMar>
              <w:top w:type="dxa" w:w="90"/>
              <w:left w:type="dxa" w:w="110"/>
              <w:bottom w:type="dxa" w:w="90"/>
              <w:right w:type="dxa" w:w="110"/>
            </w:tcMar>
            <w:vAlign w:val="center"/>
          </w:tcPr>
          <w:p>
            <w:pPr>
              <w:jc w:val="left"/>
            </w:pPr>
            <w:r>
              <w:rPr>
                <w:b w:val="false"/>
                <w:bCs w:val="false"/>
                <w:color w:val="1F2937"/>
                <w:sz w:val="19"/>
                <w:szCs w:val="19"/>
              </w:rPr>
              <w:t xml:space="preserve">El agente de RL entrenado y validado en Twin, y —si se hizo— la capa de alertas de Guardian.</w:t>
            </w:r>
          </w:p>
        </w:tc>
      </w:tr>
    </w:tbl>
    <w:p>
      <w:pPr>
        <w:pBdr>
          <w:left w:val="single" w:color="B45309" w:sz="24"/>
        </w:pBdr>
        <w:shd w:fill="FEF3E2" w:val="clear"/>
        <w:spacing w:after="100" w:before="420"/>
      </w:pPr>
      <w:r>
        <w:rPr>
          <w:b/>
          <w:bCs/>
          <w:color w:val="B45309"/>
          <w:sz w:val="26"/>
          <w:szCs w:val="26"/>
        </w:rPr>
        <w:t xml:space="preserve">  Fase 1 — </w:t>
      </w:r>
      <w:r>
        <w:rPr>
          <w:b/>
          <w:bCs/>
          <w:color w:val="1F2937"/>
          <w:sz w:val="26"/>
          <w:szCs w:val="26"/>
        </w:rPr>
        <w:t xml:space="preserve">“Shiro Twin”</w:t>
      </w:r>
      <w:r>
        <w:rPr>
          <w:i/>
          <w:iCs/>
          <w:color w:val="6B7280"/>
          <w:sz w:val="20"/>
          <w:szCs w:val="20"/>
        </w:rPr>
        <w:t xml:space="preserve">  ·  objetivo formal del curso — cortes 1, 2 y 3</w:t>
      </w:r>
    </w:p>
    <w:p>
      <w:pPr>
        <w:pStyle w:val="Heading3"/>
        <w:spacing w:after="100" w:before="200"/>
      </w:pPr>
      <w:r>
        <w:rPr>
          <w:b/>
          <w:bCs/>
          <w:i/>
          <w:iCs/>
          <w:color w:val="1F2937"/>
          <w:sz w:val="22"/>
          <w:szCs w:val="22"/>
        </w:rPr>
        <w:t xml:space="preserve">Visión</w:t>
      </w:r>
    </w:p>
    <w:p>
      <w:pPr>
        <w:spacing w:after="150" w:line="300"/>
      </w:pPr>
      <w:r>
        <w:t xml:space="preserve">Antes de que Shiro toque un solo dispositivo real, se construye un gemelo digital: una simulación fiel del hogar, alimentada con datos reales de consumo, donde se entrena y valida un agente completo. Es el mismo espíritu “propose-only” que Shiro ya aplica sobre su propio código —cuando se auto-mejora, trabaja en un worktree de git aislado y nunca toca `main`/`develop` sin aprobación humana (ADR 0023)—, aplicado aquí al mundo físico: aquí el “worktree” es un hogar simulado en vez de un repositorio.</w:t>
      </w:r>
    </w:p>
    <w:p>
      <w:pPr>
        <w:spacing w:after="150" w:line="300"/>
      </w:pPr>
      <w:r>
        <w:t xml:space="preserve">Esta fase, por sí sola, es un proyecto de Machine Learning completo y autocontenido: no depende de que ninguna fase posterior exista para ser evaluada.</w:t>
      </w:r>
    </w:p>
    <w:p>
      <w:pPr>
        <w:pStyle w:val="Heading3"/>
        <w:spacing w:after="100" w:before="200"/>
      </w:pPr>
      <w:r>
        <w:rPr>
          <w:b/>
          <w:bCs/>
          <w:i/>
          <w:iCs/>
          <w:color w:val="1F2937"/>
          <w:sz w:val="22"/>
          <w:szCs w:val="22"/>
        </w:rPr>
        <w:t xml:space="preserve">Cómo usa el temario completo del curso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6900"/>
      </w:tblGrid>
      <w:tr>
        <w:trPr>
          <w:tblHeader/>
        </w:trPr>
        <w:tc>
          <w:tcPr>
            <w:tcW w:type="dxa" w:w="2450"/>
            <w:shd w:fill="0F766E" w:val="clear"/>
            <w:tcMar>
              <w:top w:type="dxa" w:w="90"/>
              <w:left w:type="dxa" w:w="110"/>
              <w:bottom w:type="dxa" w:w="90"/>
              <w:right w:type="dxa" w:w="110"/>
            </w:tcMar>
            <w:vAlign w:val="center"/>
          </w:tcPr>
          <w:p>
            <w:pPr>
              <w:jc w:val="left"/>
            </w:pPr>
            <w:r>
              <w:rPr>
                <w:b/>
                <w:bCs/>
                <w:color w:val="FFFFFF"/>
                <w:sz w:val="19"/>
                <w:szCs w:val="19"/>
              </w:rPr>
              <w:t xml:space="preserve">Bloque del curso</w:t>
            </w:r>
          </w:p>
        </w:tc>
        <w:tc>
          <w:tcPr>
            <w:tcW w:type="dxa" w:w="6900"/>
            <w:shd w:fill="0F766E" w:val="clear"/>
            <w:tcMar>
              <w:top w:type="dxa" w:w="90"/>
              <w:left w:type="dxa" w:w="110"/>
              <w:bottom w:type="dxa" w:w="90"/>
              <w:right w:type="dxa" w:w="110"/>
            </w:tcMar>
            <w:vAlign w:val="center"/>
          </w:tcPr>
          <w:p>
            <w:pPr>
              <w:jc w:val="left"/>
            </w:pPr>
            <w:r>
              <w:rPr>
                <w:b/>
                <w:bCs/>
                <w:color w:val="FFFFFF"/>
                <w:sz w:val="19"/>
                <w:szCs w:val="19"/>
              </w:rPr>
              <w:t xml:space="preserve">Rol dentro de Shiro Twin</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Fundamentos de ML</w:t>
            </w:r>
          </w:p>
        </w:tc>
        <w:tc>
          <w:tcPr>
            <w:tcW w:type="dxa" w:w="6900"/>
            <w:tcMar>
              <w:top w:type="dxa" w:w="90"/>
              <w:left w:type="dxa" w:w="110"/>
              <w:bottom w:type="dxa" w:w="90"/>
              <w:right w:type="dxa" w:w="110"/>
            </w:tcMar>
            <w:vAlign w:val="center"/>
          </w:tcPr>
          <w:p>
            <w:pPr>
              <w:jc w:val="left"/>
            </w:pPr>
            <w:r>
              <w:rPr>
                <w:b w:val="false"/>
                <w:bCs w:val="false"/>
                <w:color w:val="1F2937"/>
                <w:sz w:val="19"/>
                <w:szCs w:val="19"/>
              </w:rPr>
              <w:t xml:space="preserve">El ciclo de vida completo (definir objetivo → recolección → preparación → algoritmo → entrenamiento → validación → deployment) se aplica de punta a punta sobre el gemelo digital.</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Regresión Lineal / Boosting</w:t>
            </w:r>
          </w:p>
        </w:tc>
        <w:tc>
          <w:tcPr>
            <w:tcW w:type="dxa" w:w="6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Predicción del consumo energético esperado (kWh) por hora/día, a partir de histórico + clima + ocupación estimada.</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Regresión Logística / Árboles / KNN / SVM(+kernels)</w:t>
            </w:r>
          </w:p>
        </w:tc>
        <w:tc>
          <w:tcPr>
            <w:tcW w:type="dxa" w:w="6900"/>
            <w:tcMar>
              <w:top w:type="dxa" w:w="90"/>
              <w:left w:type="dxa" w:w="110"/>
              <w:bottom w:type="dxa" w:w="90"/>
              <w:right w:type="dxa" w:w="110"/>
            </w:tcMar>
            <w:vAlign w:val="center"/>
          </w:tcPr>
          <w:p>
            <w:pPr>
              <w:jc w:val="left"/>
            </w:pPr>
            <w:r>
              <w:rPr>
                <w:b w:val="false"/>
                <w:bCs w:val="false"/>
                <w:color w:val="1F2937"/>
                <w:sz w:val="19"/>
                <w:szCs w:val="19"/>
              </w:rPr>
              <w:t xml:space="preserve">Clasificación de eventos dentro de la simulación: ¿hay alguien en casa? ¿un electrodoméstico quedó encendido? ¿el patrón es normal o anómalo?</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K-means / Jerárquico / DBSCAN</w:t>
            </w:r>
          </w:p>
        </w:tc>
        <w:tc>
          <w:tcPr>
            <w:tcW w:type="dxa" w:w="6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Segmentación de rutinas (perfiles de día laboral / fin de semana) y detección de outliers de consumo sin necesitar etiquetas — alimentan al agente como “sensores sintéticos”.</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MDP / Q-learning / DQN</w:t>
            </w:r>
          </w:p>
        </w:tc>
        <w:tc>
          <w:tcPr>
            <w:tcW w:type="dxa" w:w="6900"/>
            <w:tcMar>
              <w:top w:type="dxa" w:w="90"/>
              <w:left w:type="dxa" w:w="110"/>
              <w:bottom w:type="dxa" w:w="90"/>
              <w:right w:type="dxa" w:w="110"/>
            </w:tcMar>
            <w:vAlign w:val="center"/>
          </w:tcPr>
          <w:p>
            <w:pPr>
              <w:jc w:val="left"/>
            </w:pPr>
            <w:r>
              <w:rPr>
                <w:b w:val="false"/>
                <w:bCs w:val="false"/>
                <w:color w:val="1F2937"/>
                <w:sz w:val="19"/>
                <w:szCs w:val="19"/>
              </w:rPr>
              <w:t xml:space="preserve">El corazón de la fase: el hogar simulado se formaliza como entorno (estado = hora + temperatura + ocupación + consumo + tarifa; acciones = comandos hacia un `IDeviceModule` simulado; recompensa = ahorro − penalización de confort). Q-learning tabular primero; DQN si el entorno se hace continuo.</w:t>
            </w:r>
          </w:p>
        </w:tc>
      </w:tr>
    </w:tbl>
    <w:p>
      <w:pPr>
        <w:pStyle w:val="Heading3"/>
        <w:spacing w:after="100" w:before="200"/>
      </w:pPr>
      <w:r>
        <w:rPr>
          <w:b/>
          <w:bCs/>
          <w:i/>
          <w:iCs/>
          <w:color w:val="1F2937"/>
          <w:sz w:val="22"/>
          <w:szCs w:val="22"/>
        </w:rPr>
        <w:t xml:space="preserve">Arquitectura técnica</w:t>
      </w:r>
    </w:p>
    <w:p>
      <w:pPr>
        <w:pStyle w:val="ListParagraph"/>
        <w:numPr>
          <w:ilvl w:val="0"/>
          <w:numId w:val="1"/>
        </w:numPr>
        <w:spacing w:after="90" w:line="280"/>
      </w:pPr>
      <w:r>
        <w:t xml:space="preserve">Un entorno de simulación en Python (por ejemplo con Gymnasium) reproduce la dinámica de consumo/temperatura del hogar a partir del dataset real elegido (ver sección 4).</w:t>
      </w:r>
    </w:p>
    <w:p>
      <w:pPr>
        <w:pStyle w:val="ListParagraph"/>
        <w:numPr>
          <w:ilvl w:val="0"/>
          <w:numId w:val="1"/>
        </w:numPr>
        <w:spacing w:after="90" w:line="280"/>
      </w:pPr>
      <w:r>
        <w:t xml:space="preserve">La interfaz de salida hacia el resto de Shiro es la misma que tendría un dispositivo real: `IDeviceModule` simulado, mismos eventos al bus (`iot:reading`, `iot:anomaly-detected`, `iot:action-suggested`). Así, cuando llegue la Fase 3, solo cambia el “backend” del entorno — el resto de Shiro no se entera, por el mismo principio de ADR 0003 (los transports se agregan sin tocar los módulos existentes).</w:t>
      </w:r>
    </w:p>
    <w:p>
      <w:pPr>
        <w:pStyle w:val="ListParagraph"/>
        <w:numPr>
          <w:ilvl w:val="0"/>
          <w:numId w:val="1"/>
        </w:numPr>
        <w:spacing w:after="90" w:line="280"/>
      </w:pPr>
      <w:r>
        <w:t xml:space="preserve">Todo el ciclo de aprobación (`ApprovalGate`) se simula también, lo que permite iterar el diseño de esa UX sin ningún riesgo real.</w:t>
      </w:r>
    </w:p>
    <w:p>
      <w:pPr>
        <w:pStyle w:val="ListParagraph"/>
        <w:numPr>
          <w:ilvl w:val="0"/>
          <w:numId w:val="1"/>
        </w:numPr>
        <w:spacing w:after="90" w:line="280"/>
      </w:pPr>
      <w:r>
        <w:t xml:space="preserve">El agente de RL puede vivir como script/servicio Python independiente, replicando el patrón que ya usa Shiro para cómputo local pesado (mismo principio que el microservicio de Whisper, ADR 0019/0020).</w:t>
      </w:r>
    </w:p>
    <w:p>
      <w:pPr>
        <w:pStyle w:val="Heading3"/>
        <w:spacing w:after="100" w:before="200"/>
      </w:pPr>
      <w:r>
        <w:rPr>
          <w:b/>
          <w:bCs/>
          <w:i/>
          <w:iCs/>
          <w:color w:val="1F2937"/>
          <w:sz w:val="22"/>
          <w:szCs w:val="22"/>
        </w:rPr>
        <w:t xml:space="preserve">Datos</w:t>
      </w:r>
    </w:p>
    <w:p>
      <w:pPr>
        <w:spacing w:after="150" w:line="300"/>
      </w:pPr>
      <w:r>
        <w:t xml:space="preserve">Dataset real de consumo residencial (ver sección 4) como base estadística del gemelo digital. No se necesita hardware para completar esta fase — es 100% software y reproducible.</w:t>
      </w:r>
    </w:p>
    <w:p>
      <w:pPr>
        <w:pStyle w:val="Heading3"/>
        <w:spacing w:after="100" w:before="200"/>
      </w:pPr>
      <w:r>
        <w:rPr>
          <w:b/>
          <w:bCs/>
          <w:i/>
          <w:iCs/>
          <w:color w:val="1F2937"/>
          <w:sz w:val="22"/>
          <w:szCs w:val="22"/>
        </w:rPr>
        <w:t xml:space="preserve">Criterios de cierre de la Fase 1 (qué significa “Twin está listo”)</w:t>
      </w:r>
    </w:p>
    <w:p>
      <w:pPr>
        <w:pStyle w:val="ListParagraph"/>
        <w:numPr>
          <w:ilvl w:val="0"/>
          <w:numId w:val="1"/>
        </w:numPr>
        <w:spacing w:after="90" w:line="280"/>
      </w:pPr>
      <w:r>
        <w:t xml:space="preserve">Dataset final elegido y documentado con la plantilla del taller (rúbrica de 5 criterios).</w:t>
      </w:r>
    </w:p>
    <w:p>
      <w:pPr>
        <w:pStyle w:val="ListParagraph"/>
        <w:numPr>
          <w:ilvl w:val="0"/>
          <w:numId w:val="1"/>
        </w:numPr>
        <w:spacing w:after="90" w:line="280"/>
      </w:pPr>
      <w:r>
        <w:t xml:space="preserve">Al menos un modelo de regresión y uno de clasificación entrenados y evaluados sobre datos reales.</w:t>
      </w:r>
    </w:p>
    <w:p>
      <w:pPr>
        <w:pStyle w:val="ListParagraph"/>
        <w:numPr>
          <w:ilvl w:val="0"/>
          <w:numId w:val="1"/>
        </w:numPr>
        <w:spacing w:after="90" w:line="280"/>
      </w:pPr>
      <w:r>
        <w:t xml:space="preserve">Al menos dos técnicas de clustering aplicadas y comparadas para segmentar patrones de uso.</w:t>
      </w:r>
    </w:p>
    <w:p>
      <w:pPr>
        <w:pStyle w:val="ListParagraph"/>
        <w:numPr>
          <w:ilvl w:val="0"/>
          <w:numId w:val="1"/>
        </w:numPr>
        <w:spacing w:after="90" w:line="280"/>
      </w:pPr>
      <w:r>
        <w:t xml:space="preserve">El MDP formalizado por escrito (estados, acciones, recompensa) y un agente Q-learning entrenado y evaluado dentro del gemelo digital, con métricas de ahorro simulado.</w:t>
      </w:r>
    </w:p>
    <w:p>
      <w:pPr>
        <w:pStyle w:val="ListParagraph"/>
        <w:numPr>
          <w:ilvl w:val="0"/>
          <w:numId w:val="1"/>
        </w:numPr>
        <w:spacing w:after="90" w:line="280"/>
      </w:pPr>
      <w:r>
        <w:t xml:space="preserve">Informe final + demo del entorno de simulación funcionando de principio a fin.</w:t>
      </w:r>
    </w:p>
    <w:p>
      <w:pPr>
        <w:pBdr>
          <w:left w:val="single" w:color="0F766E" w:sz="24"/>
        </w:pBdr>
        <w:shd w:fill="E6F4F1" w:val="clear"/>
        <w:spacing w:after="220" w:before="140"/>
      </w:pPr>
      <w:r>
        <w:rPr>
          <w:i/>
          <w:iCs/>
          <w:color w:val="1F2937"/>
          <w:sz w:val="20"/>
          <w:szCs w:val="20"/>
        </w:rPr>
        <w:t xml:space="preserve">  Si estos criterios se cumplen antes de que termine el 3er corte, el equipo entra en la Fase 2 dentro del mismo semestre. Si no, la Fase 1 sigue siendo un entregable completo y evaluable por sí sola — nada de lo anterior depende de llegar a Guardian.</w:t>
      </w:r>
    </w:p>
    <w:p>
      <w:pPr>
        <w:pBdr>
          <w:left w:val="single" w:color="B45309" w:sz="24"/>
        </w:pBdr>
        <w:shd w:fill="FEF3E2" w:val="clear"/>
        <w:spacing w:after="100" w:before="420"/>
      </w:pPr>
      <w:r>
        <w:rPr>
          <w:b/>
          <w:bCs/>
          <w:color w:val="B45309"/>
          <w:sz w:val="26"/>
          <w:szCs w:val="26"/>
        </w:rPr>
        <w:t xml:space="preserve">  Fase 2 — </w:t>
      </w:r>
      <w:r>
        <w:rPr>
          <w:b/>
          <w:bCs/>
          <w:color w:val="1F2937"/>
          <w:sz w:val="26"/>
          <w:szCs w:val="26"/>
        </w:rPr>
        <w:t xml:space="preserve">“Shiro Guardian”</w:t>
      </w:r>
      <w:r>
        <w:rPr>
          <w:i/>
          <w:iCs/>
          <w:color w:val="6B7280"/>
          <w:sz w:val="20"/>
          <w:szCs w:val="20"/>
        </w:rPr>
        <w:t xml:space="preserve">  ·  stretch goal — solo si sobra tiempo, dentro o justo después del curso</w:t>
      </w:r>
    </w:p>
    <w:p>
      <w:pPr>
        <w:pStyle w:val="Heading3"/>
        <w:spacing w:after="100" w:before="200"/>
      </w:pPr>
      <w:r>
        <w:rPr>
          <w:b/>
          <w:bCs/>
          <w:i/>
          <w:iCs/>
          <w:color w:val="1F2937"/>
          <w:sz w:val="22"/>
          <w:szCs w:val="22"/>
        </w:rPr>
        <w:t xml:space="preserve">Cuándo se activa</w:t>
      </w:r>
    </w:p>
    <w:p>
      <w:pPr>
        <w:spacing w:after="150" w:line="300"/>
      </w:pPr>
      <w:r>
        <w:t xml:space="preserve">Esta fase no se planea con fecha fija: se activa únicamente si los criterios de cierre de la Fase 1 se cumplen con margen — por ejemplo, a mitad del 3er corte. En ese caso, el tiempo restante del semestre se usa para avanzarla; si no alcanza, es el primer proyecto a retomar después del curso (antes que Home, por ser más rápida de completar).</w:t>
      </w:r>
    </w:p>
    <w:p>
      <w:pPr>
        <w:pStyle w:val="Heading3"/>
        <w:spacing w:after="100" w:before="200"/>
      </w:pPr>
      <w:r>
        <w:rPr>
          <w:b/>
          <w:bCs/>
          <w:i/>
          <w:iCs/>
          <w:color w:val="1F2937"/>
          <w:sz w:val="22"/>
          <w:szCs w:val="22"/>
        </w:rPr>
        <w:t xml:space="preserve">Visión</w:t>
      </w:r>
    </w:p>
    <w:p>
      <w:pPr>
        <w:spacing w:after="150" w:line="300"/>
      </w:pPr>
      <w:r>
        <w:t xml:space="preserve">Shiro empieza a vigilar el hogar (simulado, con los mismos datos y el mismo agente de la Fase 1) y a avisar — más cerca del rol de “compañera que te cuida” que de “controladora automática”. No introduce datos ni modelos nuevos desde cero: reutiliza directamente los artefactos entrenados en Shiro Twin y les agrega una capa de clasificación de riesgo y notificación.</w:t>
      </w:r>
    </w:p>
    <w:p>
      <w:pPr>
        <w:pStyle w:val="Heading3"/>
        <w:spacing w:after="100" w:before="200"/>
      </w:pPr>
      <w:r>
        <w:rPr>
          <w:b/>
          <w:bCs/>
          <w:i/>
          <w:iCs/>
          <w:color w:val="1F2937"/>
          <w:sz w:val="22"/>
          <w:szCs w:val="22"/>
        </w:rPr>
        <w:t xml:space="preserve">Cómo extiende el temario ya cubierto en Twin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6900"/>
      </w:tblGrid>
      <w:tr>
        <w:trPr>
          <w:tblHeader/>
        </w:trPr>
        <w:tc>
          <w:tcPr>
            <w:tcW w:type="dxa" w:w="2450"/>
            <w:shd w:fill="0F766E" w:val="clear"/>
            <w:tcMar>
              <w:top w:type="dxa" w:w="90"/>
              <w:left w:type="dxa" w:w="110"/>
              <w:bottom w:type="dxa" w:w="90"/>
              <w:right w:type="dxa" w:w="110"/>
            </w:tcMar>
            <w:vAlign w:val="center"/>
          </w:tcPr>
          <w:p>
            <w:pPr>
              <w:jc w:val="left"/>
            </w:pPr>
            <w:r>
              <w:rPr>
                <w:b/>
                <w:bCs/>
                <w:color w:val="FFFFFF"/>
                <w:sz w:val="19"/>
                <w:szCs w:val="19"/>
              </w:rPr>
              <w:t xml:space="preserve">Bloque del curso</w:t>
            </w:r>
          </w:p>
        </w:tc>
        <w:tc>
          <w:tcPr>
            <w:tcW w:type="dxa" w:w="6900"/>
            <w:shd w:fill="0F766E" w:val="clear"/>
            <w:tcMar>
              <w:top w:type="dxa" w:w="90"/>
              <w:left w:type="dxa" w:w="110"/>
              <w:bottom w:type="dxa" w:w="90"/>
              <w:right w:type="dxa" w:w="110"/>
            </w:tcMar>
            <w:vAlign w:val="center"/>
          </w:tcPr>
          <w:p>
            <w:pPr>
              <w:jc w:val="left"/>
            </w:pPr>
            <w:r>
              <w:rPr>
                <w:b/>
                <w:bCs/>
                <w:color w:val="FFFFFF"/>
                <w:sz w:val="19"/>
                <w:szCs w:val="19"/>
              </w:rPr>
              <w:t xml:space="preserve">Qué agrega Guardian sobre lo ya hecho en Twin</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Árboles / KNN / SVM(+kernels) / Boosting</w:t>
            </w:r>
          </w:p>
        </w:tc>
        <w:tc>
          <w:tcPr>
            <w:tcW w:type="dxa" w:w="6900"/>
            <w:tcMar>
              <w:top w:type="dxa" w:w="90"/>
              <w:left w:type="dxa" w:w="110"/>
              <w:bottom w:type="dxa" w:w="90"/>
              <w:right w:type="dxa" w:w="110"/>
            </w:tcMar>
            <w:vAlign w:val="center"/>
          </w:tcPr>
          <w:p>
            <w:pPr>
              <w:jc w:val="left"/>
            </w:pPr>
            <w:r>
              <w:rPr>
                <w:b w:val="false"/>
                <w:bCs w:val="false"/>
                <w:color w:val="1F2937"/>
                <w:sz w:val="19"/>
                <w:szCs w:val="19"/>
              </w:rPr>
              <w:t xml:space="preserve">Se reentrena el mismo tipo de clasificador de Twin, pero enfocado en distinguir eventos de riesgo (consumo fuera de lo normal, posible fuga térmica, electrodoméstico con comportamiento defectuoso) en vez de solo “normal/anómalo”.</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K-means / Jerárquico / DBSCAN</w:t>
            </w:r>
          </w:p>
        </w:tc>
        <w:tc>
          <w:tcPr>
            <w:tcW w:type="dxa" w:w="6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Los clusters de hábitos ya construidos en Twin se reetiquetan como perfiles “sanos” vs. “de riesgo”; DBSCAN aísla outliers puntuales sin necesitar redefinir k.</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MDP / Q-learning</w:t>
            </w:r>
          </w:p>
        </w:tc>
        <w:tc>
          <w:tcPr>
            <w:tcW w:type="dxa" w:w="6900"/>
            <w:tcMar>
              <w:top w:type="dxa" w:w="90"/>
              <w:left w:type="dxa" w:w="110"/>
              <w:bottom w:type="dxa" w:w="90"/>
              <w:right w:type="dxa" w:w="110"/>
            </w:tcMar>
            <w:vAlign w:val="center"/>
          </w:tcPr>
          <w:p>
            <w:pPr>
              <w:jc w:val="left"/>
            </w:pPr>
            <w:r>
              <w:rPr>
                <w:b w:val="false"/>
                <w:bCs w:val="false"/>
                <w:color w:val="1F2937"/>
                <w:sz w:val="19"/>
                <w:szCs w:val="19"/>
              </w:rPr>
              <w:t xml:space="preserve">El agente de Twin se extiende con una política de alertas (¿notificar ya? ¿esperar más evidencia? ¿escalar a una acción que pediría `confirm`?) — un MDP más pequeño, montado sobre el mismo entorno simulado.</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Regresión / Boosting (opcional)</w:t>
            </w:r>
          </w:p>
        </w:tc>
        <w:tc>
          <w:tcPr>
            <w:tcW w:type="dxa" w:w="6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Si hay tiempo, se enriquece la predicción de consumo con una estimación de huella de carbono, cruzando con datos de mezcla energética regional (p. ej. el “Global Power Plant Database” sugerido en la diapositiva de sectores del curso) — esto cubre el ángulo “medio ambiente” del sector, no solo el energético.</w:t>
            </w:r>
          </w:p>
        </w:tc>
      </w:tr>
    </w:tbl>
    <w:p>
      <w:pPr>
        <w:pStyle w:val="Heading3"/>
        <w:spacing w:after="100" w:before="200"/>
      </w:pPr>
      <w:r>
        <w:rPr>
          <w:b/>
          <w:bCs/>
          <w:i/>
          <w:iCs/>
          <w:color w:val="1F2937"/>
          <w:sz w:val="22"/>
          <w:szCs w:val="22"/>
        </w:rPr>
        <w:t xml:space="preserve">Arquitectura técnica</w:t>
      </w:r>
    </w:p>
    <w:p>
      <w:pPr>
        <w:spacing w:after="150" w:line="300"/>
      </w:pPr>
      <w:r>
        <w:t xml:space="preserve">Se apoya en el mismo patrón de herramientas con `permissionTier` previsto para Twin, pero el catálogo de acciones de esta fase es solo de lectura + notificación (sin `confirm` sobre dispositivos reales, porque en esta fase tampoco hay dispositivos reales todavía) — el menor riesgo de implementación de las tres fases.</w:t>
      </w:r>
    </w:p>
    <w:p>
      <w:pPr>
        <w:pStyle w:val="Heading3"/>
        <w:spacing w:after="100" w:before="200"/>
      </w:pPr>
      <w:r>
        <w:rPr>
          <w:b/>
          <w:bCs/>
          <w:i/>
          <w:iCs/>
          <w:color w:val="1F2937"/>
          <w:sz w:val="22"/>
          <w:szCs w:val="22"/>
        </w:rPr>
        <w:t xml:space="preserve">Por qué va antes que Home si hay que elegir</w:t>
      </w:r>
    </w:p>
    <w:p>
      <w:pPr>
        <w:spacing w:after="150" w:line="300"/>
      </w:pPr>
      <w:r>
        <w:t xml:space="preserve">Guardian no necesita ADR, no necesita `MQTTTransport` real ni hardware — es una extensión de software puro sobre lo que ya existe de Twin. Home sí necesita todo eso. Por eso, si el tiempo apremia (dentro del curso o recién terminado), Guardian es la opción de menor fricción y mayor probabilidad de completarse.</w:t>
      </w:r>
    </w:p>
    <w:p>
      <w:pPr>
        <w:pBdr>
          <w:left w:val="single" w:color="B45309" w:sz="24"/>
        </w:pBdr>
        <w:shd w:fill="FEF3E2" w:val="clear"/>
        <w:spacing w:after="100" w:before="420"/>
      </w:pPr>
      <w:r>
        <w:rPr>
          <w:b/>
          <w:bCs/>
          <w:color w:val="B45309"/>
          <w:sz w:val="26"/>
          <w:szCs w:val="26"/>
        </w:rPr>
        <w:t xml:space="preserve">  Fase 3 — </w:t>
      </w:r>
      <w:r>
        <w:rPr>
          <w:b/>
          <w:bCs/>
          <w:color w:val="1F2937"/>
          <w:sz w:val="26"/>
          <w:szCs w:val="26"/>
        </w:rPr>
        <w:t xml:space="preserve">“Shiro Home”</w:t>
      </w:r>
      <w:r>
        <w:rPr>
          <w:i/>
          <w:iCs/>
          <w:color w:val="6B7280"/>
          <w:sz w:val="20"/>
          <w:szCs w:val="20"/>
        </w:rPr>
        <w:t xml:space="preserve">  ·  proyecto post-curso — la meta de largo plazo</w:t>
      </w:r>
    </w:p>
    <w:p>
      <w:pPr>
        <w:pStyle w:val="Heading3"/>
        <w:spacing w:after="100" w:before="200"/>
      </w:pPr>
      <w:r>
        <w:rPr>
          <w:b/>
          <w:bCs/>
          <w:i/>
          <w:iCs/>
          <w:color w:val="1F2937"/>
          <w:sz w:val="22"/>
          <w:szCs w:val="22"/>
        </w:rPr>
        <w:t xml:space="preserve">Visión</w:t>
      </w:r>
    </w:p>
    <w:p>
      <w:pPr>
        <w:spacing w:after="150" w:line="300"/>
      </w:pPr>
      <w:r>
        <w:t xml:space="preserve">Shiro deja de vivir solo “dentro de la pantalla”: gana una capa de percepción real sobre el espacio físico del usuario y la capacidad de actuar sobre él —con el mismo carácter, voz y avatar que ya tiene—. No es un dashboard aparte: es Shiro hablando de tu casa igual que habla de cualquier otro tema, y pidiendo permiso antes de apagar algo, igual que hoy pide permiso antes de borrar un archivo. Esta es la razón de ser de todo el plan: Twin y Guardian existen, en última instancia, para llegar aquí con una base validada.</w:t>
      </w:r>
    </w:p>
    <w:p>
      <w:pPr>
        <w:pStyle w:val="Heading3"/>
        <w:spacing w:after="100" w:before="200"/>
      </w:pPr>
      <w:r>
        <w:rPr>
          <w:b/>
          <w:bCs/>
          <w:i/>
          <w:iCs/>
          <w:color w:val="1F2937"/>
          <w:sz w:val="22"/>
          <w:szCs w:val="22"/>
        </w:rPr>
        <w:t xml:space="preserve">Qué reutiliza de las fases anteriores</w:t>
      </w:r>
    </w:p>
    <w:p>
      <w:pPr>
        <w:pStyle w:val="ListParagraph"/>
        <w:numPr>
          <w:ilvl w:val="0"/>
          <w:numId w:val="1"/>
        </w:numPr>
        <w:spacing w:after="90" w:line="280"/>
      </w:pPr>
      <w:r>
        <w:t xml:space="preserve">El agente de RL entrenado y validado en la Fase 1 se “gradúa” del entorno simulado a dispositivos reales — no se entrena desde cero.</w:t>
      </w:r>
    </w:p>
    <w:p>
      <w:pPr>
        <w:pStyle w:val="ListParagraph"/>
        <w:numPr>
          <w:ilvl w:val="0"/>
          <w:numId w:val="1"/>
        </w:numPr>
        <w:spacing w:after="90" w:line="280"/>
      </w:pPr>
      <w:r>
        <w:t xml:space="preserve">Si se completó, la capa de clasificación de riesgo y alertas de la Fase 2 se reutiliza tal cual, ahora con lecturas de sensores reales en vez de simuladas.</w:t>
      </w:r>
    </w:p>
    <w:p>
      <w:pPr>
        <w:pStyle w:val="ListParagraph"/>
        <w:numPr>
          <w:ilvl w:val="0"/>
          <w:numId w:val="1"/>
        </w:numPr>
        <w:spacing w:after="90" w:line="280"/>
      </w:pPr>
      <w:r>
        <w:t xml:space="preserve">La arquitectura de eventos (`iot:reading`, `iot:anomaly-detected`, `iot:action-suggested`) no cambia — es la misma desde la Fase 1, por diseño.</w:t>
      </w:r>
    </w:p>
    <w:p>
      <w:pPr>
        <w:pStyle w:val="Heading3"/>
        <w:spacing w:after="100" w:before="200"/>
      </w:pPr>
      <w:r>
        <w:rPr>
          <w:b/>
          <w:bCs/>
          <w:i/>
          <w:iCs/>
          <w:color w:val="1F2937"/>
          <w:sz w:val="22"/>
          <w:szCs w:val="22"/>
        </w:rPr>
        <w:t xml:space="preserve">Qué agrega esta fase (lo único genuinamente nuevo)</w:t>
      </w:r>
    </w:p>
    <w:p>
      <w:pPr>
        <w:pStyle w:val="ListParagraph"/>
        <w:numPr>
          <w:ilvl w:val="0"/>
          <w:numId w:val="1"/>
        </w:numPr>
        <w:spacing w:after="90" w:line="280"/>
      </w:pPr>
      <w:r>
        <w:t xml:space="preserve">`DeviceRegistry` (definida en ADR 0003, hoy vacía) se llena por primera vez con dispositivos reales, alimentada desde `config/devices.config.yaml`.</w:t>
      </w:r>
    </w:p>
    <w:p>
      <w:pPr>
        <w:pStyle w:val="ListParagraph"/>
        <w:numPr>
          <w:ilvl w:val="0"/>
          <w:numId w:val="1"/>
        </w:numPr>
        <w:spacing w:after="90" w:line="280"/>
      </w:pPr>
      <w:r>
        <w:t xml:space="preserve">`MQTTTransport` real hacia Home Assistant — hoy solo existe `InProcessTransport`.</w:t>
      </w:r>
    </w:p>
    <w:p>
      <w:pPr>
        <w:pStyle w:val="ListParagraph"/>
        <w:numPr>
          <w:ilvl w:val="0"/>
          <w:numId w:val="1"/>
        </w:numPr>
        <w:spacing w:after="90" w:line="280"/>
      </w:pPr>
      <w:r>
        <w:t xml:space="preserve">El `ApprovalGate` (hoy usado para archivos y comandos, ADR 0022) se extiende a acciones sobre dispositivos físicos, con el mismo modal de aprobación que ya existe en el cliente.</w:t>
      </w:r>
    </w:p>
    <w:p>
      <w:pPr>
        <w:pStyle w:val="ListParagraph"/>
        <w:numPr>
          <w:ilvl w:val="0"/>
          <w:numId w:val="1"/>
        </w:numPr>
        <w:spacing w:after="90" w:line="280"/>
      </w:pPr>
      <w:r>
        <w:t xml:space="preserve">Hardware real: al menos un sensor y un dispositivo controlable (enchufe inteligente, termostato) — la pregunta de qué comprar se resuelve al arrancar esta fase, no antes.</w:t>
      </w:r>
    </w:p>
    <w:p>
      <w:pPr>
        <w:pStyle w:val="Heading3"/>
        <w:spacing w:after="100" w:before="200"/>
      </w:pPr>
      <w:r>
        <w:rPr>
          <w:b/>
          <w:bCs/>
          <w:i/>
          <w:iCs/>
          <w:color w:val="1F2937"/>
          <w:sz w:val="22"/>
          <w:szCs w:val="22"/>
        </w:rPr>
        <w:t xml:space="preserve">Requisito de proceso: el ADR</w:t>
      </w:r>
    </w:p>
    <w:p>
      <w:pPr>
        <w:spacing w:after="150" w:line="300"/>
      </w:pPr>
      <w:r>
        <w:t xml:space="preserve">El `CLAUDE.md` del repo de Shiro exige pausar y escribir un ADR antes de implementar algo que toca varios módulos, introduce dependencias nuevas o sienta un patrón que otros módulos seguirán — y esta fase cumple las tres condiciones. Por eso el ADR formal no se redacta ahora: se deja para el momento en que el equipo decida arrancar Shiro Home en serio, siguiendo la plantilla ya existente en `docs/adr/template.md` del repo. Esta decisión es intencional, no un olvido — evita fijar por escrito decisiones de arquitectura antes de tener resultados reales de la Fase 1 que las informen.</w:t>
      </w:r>
    </w:p>
    <w:p>
      <w:pPr>
        <w:pStyle w:val="Heading1"/>
        <w:pageBreakBefore/>
        <w:spacing w:after="200" w:before="480"/>
      </w:pPr>
      <w:r>
        <w:rPr>
          <w:b/>
          <w:bCs/>
          <w:color w:val="0F766E"/>
        </w:rPr>
        <w:t xml:space="preserve">2. Datasets candidatos para la Fase 1 (Paso 2-3 del taller)</w:t>
      </w:r>
    </w:p>
    <w:p>
      <w:pPr>
        <w:spacing w:after="150" w:line="300"/>
      </w:pPr>
      <w:r>
        <w:t xml:space="preserve">Los tres datasets siguientes son reales, públicos y verificados; sirven como base estadística tanto para Shiro Twin como, más adelante, para Shiro Guardian (mismo pipeline de datos).</w:t>
      </w:r>
    </w:p>
    <w:p>
      <w:pPr>
        <w:pStyle w:val="Heading2"/>
        <w:spacing w:after="140" w:before="300"/>
      </w:pPr>
      <w:r>
        <w:rPr>
          <w:b/>
          <w:bCs/>
          <w:color w:val="1F2937"/>
        </w:rPr>
        <w:t xml:space="preserve">1. Individual Household Electric Power Consumption (UCI)</w:t>
      </w:r>
    </w:p>
    <w:p>
      <w:pPr>
        <w:spacing w:after="150" w:line="300"/>
      </w:pPr>
      <w:r>
        <w:t xml:space="preserve">2,075,259 mediciones minuto a minuto de un hogar en Sceaux (cerca de París, Francia), entre diciembre de 2006 y noviembre de 2010 (~47 meses). Incluye potencia activa/reactiva, voltaje, intensidad y tres sub-medidores por grupo de electrodomésticos. ~1.25% de valores faltantes, documentado. Licencia CC BY 4.0.</w:t>
      </w:r>
    </w:p>
    <w:p>
      <w:pPr>
        <w:spacing w:after="150"/>
      </w:pPr>
      <w:r>
        <w:rPr>
          <w:b/>
          <w:bCs/>
        </w:rPr>
        <w:t xml:space="preserve">Fuente: </w:t>
      </w:r>
      <w:hyperlink w:history="1" r:id="rId1tcevxkssxs4iks-rl5uy">
        <w:r>
          <w:rPr>
            <w:color w:val="1D4ED8"/>
            <w:u w:val="single"/>
          </w:rPr>
          <w:t xml:space="preserve">https://archive.ics.uci.edu/dataset/235/individual</w:t>
        </w:r>
      </w:hyperlink>
    </w:p>
    <w:p>
      <w:pPr>
        <w:pStyle w:val="Heading2"/>
        <w:spacing w:after="140" w:before="300"/>
      </w:pPr>
      <w:r>
        <w:rPr>
          <w:b/>
          <w:bCs/>
          <w:color w:val="1F2937"/>
        </w:rPr>
        <w:t xml:space="preserve">2. Appliances Energy Prediction (UCI / Kaggle)</w:t>
      </w:r>
    </w:p>
    <w:p>
      <w:pPr>
        <w:spacing w:after="150" w:line="300"/>
      </w:pPr>
      <w:r>
        <w:t xml:space="preserve">19,735 filas, 29 columnas, intervalos de 10 minutos durante ~4.5 meses. Sensores ZigBee de temperatura y humedad en 9 habitaciones de una vivienda de bajo consumo (Bélgica) más variables climáticas de una estación cercana. El dataset más rico en variables de las tres opciones, aunque limitado a una sola vivienda y un periodo corto.</w:t>
      </w:r>
    </w:p>
    <w:p>
      <w:pPr>
        <w:spacing w:after="150"/>
      </w:pPr>
      <w:r>
        <w:rPr>
          <w:b/>
          <w:bCs/>
        </w:rPr>
        <w:t xml:space="preserve">Fuente: </w:t>
      </w:r>
      <w:hyperlink w:history="1" r:id="rIdhns5hjnarjb857ofrxttp">
        <w:r>
          <w:rPr>
            <w:color w:val="1D4ED8"/>
            <w:u w:val="single"/>
          </w:rPr>
          <w:t xml:space="preserve">https://archive.ics.uci.edu/dataset/374/appliances+energy+prediction</w:t>
        </w:r>
      </w:hyperlink>
    </w:p>
    <w:p>
      <w:pPr>
        <w:pStyle w:val="Heading2"/>
        <w:spacing w:after="140" w:before="300"/>
      </w:pPr>
      <w:r>
        <w:rPr>
          <w:b/>
          <w:bCs/>
          <w:color w:val="1F2937"/>
        </w:rPr>
        <w:t xml:space="preserve">3. Smart Home Dataset with Weather Information (Kaggle)</w:t>
      </w:r>
    </w:p>
    <w:p>
      <w:pPr>
        <w:spacing w:after="150" w:line="300"/>
      </w:pPr>
      <w:r>
        <w:t xml:space="preserve">Más de 500,000 lecturas minuto a minuto durante 350 días (2016), con consumo (kW) desglosado por electrodoméstico/habitación desde un medidor inteligente, más condiciones climáticas de la zona. El más grande y el que más directamente calza con la narrativa “smart home”, aunque al ser un dataset de comunidad requiere más limpieza previa.</w:t>
      </w:r>
    </w:p>
    <w:p>
      <w:pPr>
        <w:spacing w:after="150"/>
      </w:pPr>
      <w:r>
        <w:rPr>
          <w:b/>
          <w:bCs/>
        </w:rPr>
        <w:t xml:space="preserve">Fuente: </w:t>
      </w:r>
      <w:hyperlink w:history="1" r:id="rIdlwjwkglhhecboct8f78vy">
        <w:r>
          <w:rPr>
            <w:color w:val="1D4ED8"/>
            <w:u w:val="single"/>
          </w:rPr>
          <w:t xml:space="preserve">https://www.kaggle.com/datasets/taranvee/smart-home-dataset-with-weather-information</w:t>
        </w:r>
      </w:hyperlink>
    </w:p>
    <w:p>
      <w:pPr>
        <w:pStyle w:val="Heading2"/>
        <w:spacing w:after="140" w:before="300"/>
      </w:pPr>
      <w:r>
        <w:rPr>
          <w:b/>
          <w:bCs/>
          <w:color w:val="1F2937"/>
        </w:rPr>
        <w:t xml:space="preserve">Evaluación preliminar (rúbrica de 5 criterios)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50"/>
        <w:gridCol w:w="2150"/>
        <w:gridCol w:w="2150"/>
        <w:gridCol w:w="2150"/>
      </w:tblGrid>
      <w:tr>
        <w:trPr>
          <w:tblHeader/>
        </w:trPr>
        <w:tc>
          <w:tcPr>
            <w:tcW w:type="dxa" w:w="2450"/>
            <w:shd w:fill="0F766E" w:val="clear"/>
            <w:tcMar>
              <w:top w:type="dxa" w:w="90"/>
              <w:left w:type="dxa" w:w="110"/>
              <w:bottom w:type="dxa" w:w="90"/>
              <w:right w:type="dxa" w:w="110"/>
            </w:tcMar>
            <w:vAlign w:val="center"/>
          </w:tcPr>
          <w:p>
            <w:pPr>
              <w:jc w:val="left"/>
            </w:pPr>
            <w:r>
              <w:rPr>
                <w:b/>
                <w:bCs/>
                <w:color w:val="FFFFFF"/>
                <w:sz w:val="19"/>
                <w:szCs w:val="19"/>
              </w:rPr>
              <w:t xml:space="preserve">Criterio</w:t>
            </w:r>
          </w:p>
        </w:tc>
        <w:tc>
          <w:tcPr>
            <w:tcW w:type="dxa" w:w="2150"/>
            <w:shd w:fill="0F766E" w:val="clear"/>
            <w:tcMar>
              <w:top w:type="dxa" w:w="90"/>
              <w:left w:type="dxa" w:w="110"/>
              <w:bottom w:type="dxa" w:w="90"/>
              <w:right w:type="dxa" w:w="110"/>
            </w:tcMar>
            <w:vAlign w:val="center"/>
          </w:tcPr>
          <w:p>
            <w:pPr>
              <w:jc w:val="left"/>
            </w:pPr>
            <w:r>
              <w:rPr>
                <w:b/>
                <w:bCs/>
                <w:color w:val="FFFFFF"/>
                <w:sz w:val="19"/>
                <w:szCs w:val="19"/>
              </w:rPr>
              <w:t xml:space="preserve">1 · UCI Household</w:t>
            </w:r>
          </w:p>
        </w:tc>
        <w:tc>
          <w:tcPr>
            <w:tcW w:type="dxa" w:w="2150"/>
            <w:shd w:fill="0F766E" w:val="clear"/>
            <w:tcMar>
              <w:top w:type="dxa" w:w="90"/>
              <w:left w:type="dxa" w:w="110"/>
              <w:bottom w:type="dxa" w:w="90"/>
              <w:right w:type="dxa" w:w="110"/>
            </w:tcMar>
            <w:vAlign w:val="center"/>
          </w:tcPr>
          <w:p>
            <w:pPr>
              <w:jc w:val="left"/>
            </w:pPr>
            <w:r>
              <w:rPr>
                <w:b/>
                <w:bCs/>
                <w:color w:val="FFFFFF"/>
                <w:sz w:val="19"/>
                <w:szCs w:val="19"/>
              </w:rPr>
              <w:t xml:space="preserve">2 · Appliances Energy</w:t>
            </w:r>
          </w:p>
        </w:tc>
        <w:tc>
          <w:tcPr>
            <w:tcW w:type="dxa" w:w="2150"/>
            <w:shd w:fill="0F766E" w:val="clear"/>
            <w:tcMar>
              <w:top w:type="dxa" w:w="90"/>
              <w:left w:type="dxa" w:w="110"/>
              <w:bottom w:type="dxa" w:w="90"/>
              <w:right w:type="dxa" w:w="110"/>
            </w:tcMar>
            <w:vAlign w:val="center"/>
          </w:tcPr>
          <w:p>
            <w:pPr>
              <w:jc w:val="left"/>
            </w:pPr>
            <w:r>
              <w:rPr>
                <w:b/>
                <w:bCs/>
                <w:color w:val="FFFFFF"/>
                <w:sz w:val="19"/>
                <w:szCs w:val="19"/>
              </w:rPr>
              <w:t xml:space="preserve">3 · Smart Home + Weather</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Tamaño del dataset</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más de 2 millones de filas</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19,735 filas (&gt;10,000)</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más de 500,000 filas</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Variables útiles</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4 — consumo + sub-metering, sin ocupación/clima directo</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29 variables: 9 habitaciones + clima</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por electrodoméstico/habitación + clima</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Calidad de los datos</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4 — bien documentado, ~1.25% de nulos</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4 — muy validado en literatura, pero una sola vivienda y periodo corto</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3 — dataset de comunidad, requiere más limpieza</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Accesibilidad</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UCI, público, CC BY 4.0</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UCI y Kaggle, público</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Kaggle, público</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Formato y estructura</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CSV/TXT bien estructurado</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CSV bien estructurado</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4 — CSV, columnas menos estandarizadas</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TOTAL (/25)</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23</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24</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22</w:t>
            </w:r>
          </w:p>
        </w:tc>
      </w:tr>
    </w:tbl>
    <w:p>
      <w:pPr>
        <w:spacing w:after="150" w:line="300"/>
      </w:pPr>
      <w:r>
        <w:rPr>
          <w:i/>
          <w:iCs/>
          <w:color w:val="6B7280"/>
        </w:rPr>
        <w:t xml:space="preserve">Usar más de uno en paralelo durante la Fase 1 es válido y hasta deseable: el objetivo del gemelo digital se beneficia de comparar cómo cambia el comportamiento del agente ante distintas fuentes de datos.</w:t>
      </w:r>
    </w:p>
    <w:p>
      <w:pPr>
        <w:pStyle w:val="Heading1"/>
        <w:pageBreakBefore/>
        <w:spacing w:after="200" w:before="480"/>
      </w:pPr>
      <w:r>
        <w:rPr>
          <w:b/>
          <w:bCs/>
          <w:color w:val="0F766E"/>
        </w:rPr>
        <w:t xml:space="preserve">3. Hoja de ruta por corte (Fase 1, con la contingencia de Fase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7800"/>
      </w:tblGrid>
      <w:tr>
        <w:trPr>
          <w:tblHeader/>
        </w:trPr>
        <w:tc>
          <w:tcPr>
            <w:tcW w:type="dxa" w:w="1550"/>
            <w:shd w:fill="0F766E" w:val="clear"/>
            <w:tcMar>
              <w:top w:type="dxa" w:w="90"/>
              <w:left w:type="dxa" w:w="110"/>
              <w:bottom w:type="dxa" w:w="90"/>
              <w:right w:type="dxa" w:w="110"/>
            </w:tcMar>
            <w:vAlign w:val="center"/>
          </w:tcPr>
          <w:p>
            <w:pPr>
              <w:jc w:val="left"/>
            </w:pPr>
            <w:r>
              <w:rPr>
                <w:b/>
                <w:bCs/>
                <w:color w:val="FFFFFF"/>
                <w:sz w:val="19"/>
                <w:szCs w:val="19"/>
              </w:rPr>
              <w:t xml:space="preserve">Corte</w:t>
            </w:r>
          </w:p>
        </w:tc>
        <w:tc>
          <w:tcPr>
            <w:tcW w:type="dxa" w:w="7800"/>
            <w:shd w:fill="0F766E" w:val="clear"/>
            <w:tcMar>
              <w:top w:type="dxa" w:w="90"/>
              <w:left w:type="dxa" w:w="110"/>
              <w:bottom w:type="dxa" w:w="90"/>
              <w:right w:type="dxa" w:w="110"/>
            </w:tcMar>
            <w:vAlign w:val="center"/>
          </w:tcPr>
          <w:p>
            <w:pPr>
              <w:jc w:val="left"/>
            </w:pPr>
            <w:r>
              <w:rPr>
                <w:b/>
                <w:bCs/>
                <w:color w:val="FFFFFF"/>
                <w:sz w:val="19"/>
                <w:szCs w:val="19"/>
              </w:rPr>
              <w:t xml:space="preserve">Entregables</w:t>
            </w:r>
          </w:p>
        </w:tc>
      </w:tr>
      <w:tr>
        <w:tc>
          <w:tcPr>
            <w:tcW w:type="dxa" w:w="1550"/>
            <w:tcMar>
              <w:top w:type="dxa" w:w="90"/>
              <w:left w:type="dxa" w:w="110"/>
              <w:bottom w:type="dxa" w:w="90"/>
              <w:right w:type="dxa" w:w="110"/>
            </w:tcMar>
            <w:vAlign w:val="center"/>
          </w:tcPr>
          <w:p>
            <w:pPr>
              <w:jc w:val="left"/>
            </w:pPr>
            <w:r>
              <w:rPr>
                <w:b w:val="false"/>
                <w:bCs w:val="false"/>
                <w:color w:val="1F2937"/>
                <w:sz w:val="19"/>
                <w:szCs w:val="19"/>
              </w:rPr>
              <w:t xml:space="preserve">1er corte
(Septiembre)</w:t>
            </w:r>
          </w:p>
        </w:tc>
        <w:tc>
          <w:tcPr>
            <w:tcW w:type="dxa" w:w="7800"/>
            <w:tcMar>
              <w:top w:type="dxa" w:w="90"/>
              <w:left w:type="dxa" w:w="110"/>
              <w:bottom w:type="dxa" w:w="90"/>
              <w:right w:type="dxa" w:w="110"/>
            </w:tcMar>
            <w:vAlign w:val="center"/>
          </w:tcPr>
          <w:p>
            <w:pPr>
              <w:jc w:val="left"/>
            </w:pPr>
            <w:r>
              <w:rPr>
                <w:b w:val="false"/>
                <w:bCs w:val="false"/>
                <w:color w:val="1F2937"/>
                <w:sz w:val="19"/>
                <w:szCs w:val="19"/>
              </w:rPr>
              <w:t xml:space="preserve">Aplicar el taller de selección de dataset (plantilla ya elaborada) para fijar la fuente definitiva; análisis exploratorio de datos (EDA); primer modelo de regresión (predicción de consumo) y uno de clasificación (detección de anomalía simple). Entregable: notebook + informe corto.</w:t>
            </w:r>
          </w:p>
        </w:tc>
      </w:tr>
      <w:tr>
        <w:tc>
          <w:tcPr>
            <w:tcW w:type="dxa" w:w="15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2do corte
(Octubre)</w:t>
            </w:r>
          </w:p>
        </w:tc>
        <w:tc>
          <w:tcPr>
            <w:tcW w:type="dxa" w:w="78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Clustering de patrones de uso (K-means / jerárquico / DBSCAN); formalización explícita del MDP (estados, acciones, recompensa); construcción del entorno de simulación (gemelo digital); primer agente de Q-learning tabular funcionando.</w:t>
            </w:r>
          </w:p>
        </w:tc>
      </w:tr>
      <w:tr>
        <w:tc>
          <w:tcPr>
            <w:tcW w:type="dxa" w:w="1550"/>
            <w:tcMar>
              <w:top w:type="dxa" w:w="90"/>
              <w:left w:type="dxa" w:w="110"/>
              <w:bottom w:type="dxa" w:w="90"/>
              <w:right w:type="dxa" w:w="110"/>
            </w:tcMar>
            <w:vAlign w:val="center"/>
          </w:tcPr>
          <w:p>
            <w:pPr>
              <w:jc w:val="left"/>
            </w:pPr>
            <w:r>
              <w:rPr>
                <w:b w:val="false"/>
                <w:bCs w:val="false"/>
                <w:color w:val="1F2937"/>
                <w:sz w:val="19"/>
                <w:szCs w:val="19"/>
              </w:rPr>
              <w:t xml:space="preserve">3er corte
(Noviembre)</w:t>
            </w:r>
          </w:p>
        </w:tc>
        <w:tc>
          <w:tcPr>
            <w:tcW w:type="dxa" w:w="7800"/>
            <w:tcMar>
              <w:top w:type="dxa" w:w="90"/>
              <w:left w:type="dxa" w:w="110"/>
              <w:bottom w:type="dxa" w:w="90"/>
              <w:right w:type="dxa" w:w="110"/>
            </w:tcMar>
            <w:vAlign w:val="center"/>
          </w:tcPr>
          <w:p>
            <w:pPr>
              <w:jc w:val="left"/>
            </w:pPr>
            <w:r>
              <w:rPr>
                <w:b w:val="false"/>
                <w:bCs w:val="false"/>
                <w:color w:val="1F2937"/>
                <w:sz w:val="19"/>
                <w:szCs w:val="19"/>
              </w:rPr>
              <w:t xml:space="preserve">Deep Q-learning si el entorno se vuelve continuo/más rico; evaluación formal del agente (métricas de ahorro simulado); informe final y demo de Shiro Twin. Si esto se cierra con margen de tiempo dentro del corte → arrancar la capa de clasificación de riesgo/alertas de Shiro Guardian sobre los mismos artefactos.</w:t>
            </w:r>
          </w:p>
        </w:tc>
      </w:tr>
    </w:tbl>
    <w:p>
      <w:pPr>
        <w:pBdr>
          <w:left w:val="single" w:color="B45309" w:sz="24"/>
        </w:pBdr>
        <w:shd w:fill="FEF3E2" w:val="clear"/>
        <w:spacing w:after="220" w:before="140"/>
      </w:pPr>
      <w:r>
        <w:rPr>
          <w:i/>
          <w:iCs/>
          <w:color w:val="1F2937"/>
          <w:sz w:val="20"/>
          <w:szCs w:val="20"/>
        </w:rPr>
        <w:t xml:space="preserve">  Después del curso: si Guardian no se alcanzó a tiempo, es lo primero que se retoma (menor fricción, sin ADR ni hardware). Shiro Home arranca solo cuando el equipo decida invertir en el ADR formal y, eventualmente, en hardware real.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tcevxkssxs4iks-rl5uy" Type="http://schemas.openxmlformats.org/officeDocument/2006/relationships/hyperlink" Target="https://archive.ics.uci.edu/dataset/235/individual" TargetMode="External"/><Relationship Id="rIdhns5hjnarjb857ofrxttp" Type="http://schemas.openxmlformats.org/officeDocument/2006/relationships/hyperlink" Target="https://archive.ics.uci.edu/dataset/374/appliances+energy+prediction" TargetMode="External"/><Relationship Id="rIdlwjwkglhhecboct8f78vy" Type="http://schemas.openxmlformats.org/officeDocument/2006/relationships/hyperlink" Target="https://www.kaggle.com/datasets/taranvee/smart-home-dataset-with-weather-informa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2026-08-05T17:55:31.285Z</dcterms:created>
  <dcterms:modified xsi:type="dcterms:W3CDTF">2026-08-05T17:55:31.289Z</dcterms:modified>
</cp:coreProperties>
</file>

<file path=docProps/custom.xml><?xml version="1.0" encoding="utf-8"?>
<Properties xmlns="http://schemas.openxmlformats.org/officeDocument/2006/custom-properties" xmlns:vt="http://schemas.openxmlformats.org/officeDocument/2006/docPropsVTypes"/>
</file>