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B7280"/>
          <w:sz w:val="20"/>
          <w:szCs w:val="20"/>
        </w:rPr>
        <w:t xml:space="preserve">APRENDIZAJE DE MÁQUINA · CORTE 1 · TALLER 2</w:t>
      </w:r>
    </w:p>
    <w:p>
      <w:pPr>
        <w:spacing w:after="60"/>
      </w:pPr>
      <w:r>
        <w:rPr>
          <w:b/>
          <w:bCs/>
          <w:color w:val="0F766E"/>
          <w:sz w:val="38"/>
          <w:szCs w:val="38"/>
        </w:rPr>
        <w:t xml:space="preserve">Parte A — Árbol de Decisión</w:t>
      </w:r>
    </w:p>
    <w:p>
      <w:pPr>
        <w:spacing w:after="220"/>
      </w:pPr>
      <w:r>
        <w:rPr>
          <w:i/>
          <w:iCs/>
          <w:color w:val="6B7280"/>
          <w:sz w:val="20"/>
          <w:szCs w:val="20"/>
        </w:rPr>
        <w:t xml:space="preserve">Aplicado al proyecto Shiro Twin (Energía y Medio Ambiente / IoT)</w:t>
      </w:r>
    </w:p>
    <w:p>
      <w:pPr>
        <w:spacing w:after="80"/>
      </w:pPr>
      <w:r>
        <w:rPr>
          <w:b/>
          <w:bCs/>
        </w:rPr>
        <w:t xml:space="preserve">Grupo: </w:t>
      </w:r>
      <w:r>
        <w:t xml:space="preserve"> </w:t>
      </w:r>
    </w:p>
    <w:p>
      <w:pPr>
        <w:spacing w:after="80"/>
      </w:pPr>
      <w:r>
        <w:rPr>
          <w:b/>
          <w:bCs/>
        </w:rPr>
        <w:t xml:space="preserve">Dataset base (Taller 1): </w:t>
      </w:r>
      <w:r>
        <w:t xml:space="preserve"> </w:t>
      </w:r>
    </w:p>
    <w:p>
      <w:pPr>
        <w:spacing w:after="80"/>
      </w:pPr>
      <w:r>
        <w:rPr>
          <w:b/>
          <w:bCs/>
        </w:rPr>
        <w:t xml:space="preserve">Fecha: </w:t>
      </w:r>
      <w:r>
        <w:t xml:space="preserve"> </w:t>
      </w:r>
    </w:p>
    <w:p>
      <w:pPr>
        <w:pBdr>
          <w:bottom w:val="single" w:color="0F766E" w:sz="6"/>
        </w:pBdr>
        <w:spacing w:after="200" w:before="100"/>
      </w:pPr>
    </w:p>
    <w:p>
      <w:pPr>
        <w:pStyle w:val="Heading1"/>
        <w:spacing w:after="180" w:before="420"/>
      </w:pPr>
      <w:r>
        <w:rPr>
          <w:b/>
          <w:bCs/>
          <w:color w:val="0F766E"/>
        </w:rPr>
        <w:t xml:space="preserve">Adaptación del caso al sector</w:t>
      </w:r>
    </w:p>
    <w:p>
      <w:pPr>
        <w:spacing w:after="140" w:line="300"/>
      </w:pPr>
      <w:r>
        <w:t xml:space="preserve">El ejercicio original del profesor usa como ejemplo predecir el precio de una fruta según la ciudad. La adaptación directa a nuestro sector (Energía y Medio Ambiente / IoT) es predecir el consumo energético de la vivienda a partir de variables de tiempo, sub-medición y clima — usando el dataset que el grupo fijó en el Taller 1.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rPr>
          <w:cantSplit/>
          <w:tblHeader/>
        </w:trPr>
        <w:tc>
          <w:tcPr>
            <w:tcW w:type="dxa" w:w="3100"/>
            <w:shd w:fill="0F766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Elemento del ejercicio</w:t>
            </w:r>
          </w:p>
        </w:tc>
        <w:tc>
          <w:tcPr>
            <w:tcW w:type="dxa" w:w="6250"/>
            <w:shd w:fill="0F766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Adaptación sugerida a Shiro Twin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Variable objetivo</w:t>
            </w:r>
          </w:p>
        </w:tc>
        <w:tc>
          <w:tcPr>
            <w:tcW w:type="dxa" w:w="6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Consumo agregado por intervalo de tiempo (p. ej. `Global_active_power` en el dataset UCI Household Power Consumption, o la variable de consumo equivalente del dataset elegido).</w:t>
            </w:r>
          </w:p>
        </w:tc>
      </w:tr>
      <w:tr>
        <w:trPr>
          <w:cantSplit/>
        </w:trPr>
        <w:tc>
          <w:tcPr>
            <w:tcW w:type="dxa" w:w="3100"/>
            <w:shd w:fill="E6F4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Variables predictoras</w:t>
            </w:r>
          </w:p>
        </w:tc>
        <w:tc>
          <w:tcPr>
            <w:tcW w:type="dxa" w:w="6250"/>
            <w:shd w:fill="E6F4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Hora del día, día de la semana / tipo de día (laboral vs. fin de semana), sub-medidores (cocina, lavandería/refrigerador, agua caliente/AC), temperatura o clima si el dataset lo incluye.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Alternativa válida</w:t>
            </w:r>
          </w:p>
        </w:tc>
        <w:tc>
          <w:tcPr>
            <w:tcW w:type="dxa" w:w="6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Si el grupo prefiere un árbol de clasificación en vez de regresión, se puede clasificar la lectura como consumo “bajo / medio / alto” o “normal / anómalo” — ajustar las métricas de la sección 2 en consecuencia.</w:t>
            </w:r>
          </w:p>
        </w:tc>
      </w:tr>
    </w:tbl>
    <w:p>
      <w:pPr>
        <w:pBdr>
          <w:left w:val="single" w:color="B45309" w:sz="24"/>
        </w:pBdr>
        <w:shd w:fill="FEF3E2" w:val="clear"/>
        <w:spacing w:after="220" w:before="140"/>
      </w:pPr>
      <w:r>
        <w:rPr>
          <w:i/>
          <w:iCs/>
          <w:color w:val="1F2937"/>
          <w:sz w:val="20"/>
          <w:szCs w:val="20"/>
        </w:rPr>
        <w:t xml:space="preserve">  Si el dataset final del Taller 1 todavía no está cerrado, completa esa plantilla antes de continuar — este taller asume el dataset ya elegido.</w:t>
      </w:r>
    </w:p>
    <w:p>
      <w:pPr>
        <w:pStyle w:val="Heading1"/>
        <w:spacing w:after="180" w:before="420"/>
      </w:pPr>
      <w:r>
        <w:rPr>
          <w:b/>
          <w:bCs/>
          <w:color w:val="0F766E"/>
        </w:rPr>
        <w:t xml:space="preserve">1. Entrenamiento del modelo y análisis de overfitting</w:t>
      </w:r>
    </w:p>
    <w:p>
      <w:pPr>
        <w:spacing w:after="140" w:line="300"/>
      </w:pPr>
      <w:r>
        <w:t xml:space="preserve">Registra los parámetros probados y compara al menos 4-5 profundidades máximas para responder si el árbol se sobreajusta al crecer.</w:t>
      </w:r>
    </w:p>
    <w:p>
      <w:pPr>
        <w:pStyle w:val="Heading2"/>
        <w:spacing w:after="120" w:before="260"/>
      </w:pPr>
      <w:r>
        <w:rPr>
          <w:b/>
          <w:bCs/>
          <w:color w:val="1F2937"/>
        </w:rPr>
        <w:t xml:space="preserve">Parámetros del modelo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rPr>
          <w:cantSplit/>
          <w:tblHeader/>
        </w:trPr>
        <w:tc>
          <w:tcPr>
            <w:tcW w:type="dxa" w:w="3100"/>
            <w:shd w:fill="0F766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tcW w:type="dxa" w:w="6250"/>
            <w:shd w:fill="0F766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Valor(es) probado(s)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Criterio (mse / gini / entropía, según regresión o clasificación)</w:t>
            </w:r>
          </w:p>
        </w:tc>
        <w:tc>
          <w:tcPr>
            <w:tcW w:type="dxa" w:w="6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100"/>
            <w:shd w:fill="E6F4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Profundidad máxima (max_depth)</w:t>
            </w:r>
          </w:p>
        </w:tc>
        <w:tc>
          <w:tcPr>
            <w:tcW w:type="dxa" w:w="6250"/>
            <w:shd w:fill="E6F4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Mínimo de muestras para dividir (min_samples_split)</w:t>
            </w:r>
          </w:p>
        </w:tc>
        <w:tc>
          <w:tcPr>
            <w:tcW w:type="dxa" w:w="6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100"/>
            <w:shd w:fill="E6F4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Mínimo de muestras por hoja (min_samples_leaf)</w:t>
            </w:r>
          </w:p>
        </w:tc>
        <w:tc>
          <w:tcPr>
            <w:tcW w:type="dxa" w:w="6250"/>
            <w:shd w:fill="E6F4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2937"/>
        </w:rPr>
        <w:t xml:space="preserve">Profundidad vs. desempeño (train / test)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500"/>
        <w:gridCol w:w="2450"/>
      </w:tblGrid>
      <w:tr>
        <w:trPr>
          <w:cantSplit/>
          <w:tblHeader/>
        </w:trPr>
        <w:tc>
          <w:tcPr>
            <w:tcW w:type="dxa" w:w="1900"/>
            <w:shd w:fill="0F766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Profundidad máxima</w:t>
            </w:r>
          </w:p>
        </w:tc>
        <w:tc>
          <w:tcPr>
            <w:tcW w:type="dxa" w:w="2500"/>
            <w:shd w:fill="0F766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Score/error en entrenamiento</w:t>
            </w:r>
          </w:p>
        </w:tc>
        <w:tc>
          <w:tcPr>
            <w:tcW w:type="dxa" w:w="2500"/>
            <w:shd w:fill="0F766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Score/error en prueba</w:t>
            </w:r>
          </w:p>
        </w:tc>
        <w:tc>
          <w:tcPr>
            <w:tcW w:type="dxa" w:w="2450"/>
            <w:shd w:fill="0F766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¿Hay sobreajuste?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900"/>
            <w:shd w:fill="E6F4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shd w:fill="E6F4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00"/>
            <w:shd w:fill="E6F4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450"/>
            <w:shd w:fill="E6F4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6</w:t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900"/>
            <w:shd w:fill="E6F4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8</w:t>
            </w:r>
          </w:p>
        </w:tc>
        <w:tc>
          <w:tcPr>
            <w:tcW w:type="dxa" w:w="2500"/>
            <w:shd w:fill="E6F4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00"/>
            <w:shd w:fill="E6F4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450"/>
            <w:shd w:fill="E6F4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10</w:t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900"/>
            <w:shd w:fill="E6F4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Sin límite</w:t>
            </w:r>
          </w:p>
        </w:tc>
        <w:tc>
          <w:tcPr>
            <w:tcW w:type="dxa" w:w="2500"/>
            <w:shd w:fill="E6F4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500"/>
            <w:shd w:fill="E6F4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450"/>
            <w:shd w:fill="E6F4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1"/>
        <w:pageBreakBefore/>
        <w:spacing w:after="180" w:before="420"/>
      </w:pPr>
      <w:r>
        <w:rPr>
          <w:b/>
          <w:bCs/>
          <w:color w:val="0F766E"/>
        </w:rPr>
        <w:t xml:space="preserve">2. Interpretación del árbol</w:t>
      </w:r>
    </w:p>
    <w:p>
      <w:pPr>
        <w:spacing w:after="140" w:line="300"/>
      </w:pPr>
      <w:r>
        <w:t xml:space="preserve">Describe cómo el árbol toma decisiones: qué variable aparece en la raíz (la primera división) y qué reglas usa en los niveles siguientes.</w:t>
      </w:r>
    </w:p>
    <w:p>
      <w:pPr>
        <w:pStyle w:val="Heading2"/>
        <w:spacing w:after="120" w:before="260"/>
      </w:pPr>
      <w:r>
        <w:rPr>
          <w:b/>
          <w:bCs/>
          <w:color w:val="1F2937"/>
        </w:rPr>
        <w:t xml:space="preserve">Regla en la raíz del árbol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¿Qué variable divide primero el árbol y con qué umbral?</w:t>
            </w:r>
          </w:p>
        </w:tc>
      </w:tr>
      <w:tr>
        <w:trPr>
          <w:cantSplit/>
        </w:trPr>
        <w:tc>
          <w:tcPr>
            <w:tcW w:type="dxa" w:w="9350"/>
            <w:shd w:fill="E6F4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2937"/>
        </w:rPr>
        <w:t xml:space="preserve">Otras reglas relevantes (2-3 niveles siguientes)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Describe las reglas más importantes después de la raíz.</w:t>
            </w:r>
          </w:p>
        </w:tc>
      </w:tr>
      <w:tr>
        <w:trPr>
          <w:cantSplit/>
        </w:trPr>
        <w:tc>
          <w:tcPr>
            <w:tcW w:type="dxa" w:w="9350"/>
            <w:shd w:fill="E6F4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2937"/>
        </w:rPr>
        <w:t xml:space="preserve">Visualización</w:t>
      </w:r>
    </w:p>
    <w:p>
      <w:pPr>
        <w:spacing w:after="140" w:line="300"/>
      </w:pPr>
      <w:r>
        <w:rPr>
          <w:i/>
          <w:iCs/>
          <w:color w:val="6B7280"/>
        </w:rPr>
        <w:t xml:space="preserve">Espacio reservado para pegar la visualización del árbol (export_graphviz / plot_tree) en el informe final del grupo.</w:t>
      </w:r>
    </w:p>
    <w:p>
      <w:pPr>
        <w:pStyle w:val="Heading1"/>
        <w:spacing w:after="180" w:before="420"/>
      </w:pPr>
      <w:r>
        <w:rPr>
          <w:b/>
          <w:bCs/>
          <w:color w:val="0F766E"/>
        </w:rPr>
        <w:t xml:space="preserve">3. Importancia de variables</w:t>
      </w:r>
    </w:p>
    <w:p>
      <w:pPr>
        <w:spacing w:after="140" w:line="300"/>
      </w:pPr>
      <w:r>
        <w:t xml:space="preserve">Registra la importancia (`feature_importances_`) de cada variable predictora usada.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cantSplit/>
          <w:tblHeader/>
        </w:trPr>
        <w:tc>
          <w:tcPr>
            <w:tcW w:type="dxa" w:w="4675"/>
            <w:shd w:fill="0F766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4675"/>
            <w:shd w:fill="0F766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Importancia</w:t>
            </w:r>
          </w:p>
        </w:tc>
      </w:tr>
      <w:tr>
        <w:trPr>
          <w:cantSplit/>
        </w:trPr>
        <w:tc>
          <w:tcPr>
            <w:tcW w:type="dxa" w:w="467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467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675"/>
            <w:shd w:fill="E6F4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4675"/>
            <w:shd w:fill="E6F4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67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467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675"/>
            <w:shd w:fill="E6F4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4675"/>
            <w:shd w:fill="E6F4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67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467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1"/>
        <w:pageBreakBefore/>
        <w:spacing w:after="180" w:before="420"/>
      </w:pPr>
      <w:r>
        <w:rPr>
          <w:b/>
          <w:bCs/>
          <w:color w:val="0F766E"/>
        </w:rPr>
        <w:t xml:space="preserve">4. Preguntas guía</w:t>
      </w:r>
    </w:p>
    <w:p>
      <w:pPr>
        <w:pStyle w:val="Heading2"/>
        <w:spacing w:after="120" w:before="260"/>
      </w:pPr>
      <w:r>
        <w:rPr>
          <w:b/>
          <w:bCs/>
          <w:color w:val="1F2937"/>
        </w:rPr>
        <w:t xml:space="preserve">¿Cuáles son las características más influyentes según la importancia de variables?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Respuesta</w:t>
            </w:r>
          </w:p>
        </w:tc>
      </w:tr>
      <w:tr>
        <w:trPr>
          <w:cantSplit/>
        </w:trPr>
        <w:tc>
          <w:tcPr>
            <w:tcW w:type="dxa" w:w="9350"/>
            <w:shd w:fill="E6F4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2937"/>
        </w:rPr>
        <w:t xml:space="preserve">¿Hay patrones claros en los errores del modelo?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¿El modelo falla más en ciertas franjas horarias, días específicos o estaciones del año?</w:t>
            </w:r>
          </w:p>
        </w:tc>
      </w:tr>
      <w:tr>
        <w:trPr>
          <w:cantSplit/>
        </w:trPr>
        <w:tc>
          <w:tcPr>
            <w:tcW w:type="dxa" w:w="9350"/>
            <w:shd w:fill="E6F4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2937"/>
        </w:rPr>
        <w:t xml:space="preserve">¿El modelo tiende a sobreajustarse (overfitting) cuando aumenta la profundidad?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Justifica con la tabla de la sección 1.</w:t>
            </w:r>
          </w:p>
        </w:tc>
      </w:tr>
      <w:tr>
        <w:trPr>
          <w:cantSplit/>
        </w:trPr>
        <w:tc>
          <w:tcPr>
            <w:tcW w:type="dxa" w:w="9350"/>
            <w:shd w:fill="E6F4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2937"/>
        </w:rPr>
        <w:t xml:space="preserve">Adaptado del caso frutas/ciudad — ¿qué franja horaria o tipo de día es más difícil de predecir?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Respuesta</w:t>
            </w:r>
          </w:p>
        </w:tc>
      </w:tr>
      <w:tr>
        <w:trPr>
          <w:cantSplit/>
        </w:trPr>
        <w:tc>
          <w:tcPr>
            <w:tcW w:type="dxa" w:w="9350"/>
            <w:shd w:fill="E6F4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2937"/>
        </w:rPr>
        <w:t xml:space="preserve">Adaptado del caso frutas/ciudad — ¿existen tendencias a favorecer ciertos periodos o patrones?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Por ejemplo, ¿el modelo subestima el consumo en horas pico, o sobreestima en horas valle?</w:t>
            </w:r>
          </w:p>
        </w:tc>
      </w:tr>
      <w:tr>
        <w:trPr>
          <w:cantSplit/>
        </w:trPr>
        <w:tc>
          <w:tcPr>
            <w:tcW w:type="dxa" w:w="9350"/>
            <w:shd w:fill="E6F4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1"/>
        <w:spacing w:after="180" w:before="420"/>
      </w:pPr>
      <w:r>
        <w:rPr>
          <w:b/>
          <w:bCs/>
          <w:color w:val="0F766E"/>
        </w:rPr>
        <w:t xml:space="preserve">5. Conclusión y conexión con Shiro Twin</w:t>
      </w:r>
    </w:p>
    <w:p>
      <w:pPr>
        <w:spacing w:after="140" w:line="300"/>
      </w:pPr>
      <w:r>
        <w:t xml:space="preserve">Este modelo aporta directamente al criterio de cierre de la Fase 1 del plan unificado: “al menos un modelo de regresión y uno de clasificación entrenados y evaluados sobre datos reales”.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Conclusión general del grupo sobre este modelo.</w:t>
            </w:r>
          </w:p>
        </w:tc>
      </w:tr>
      <w:tr>
        <w:trPr>
          <w:cantSplit/>
        </w:trPr>
        <w:tc>
          <w:tcPr>
            <w:tcW w:type="dxa" w:w="9350"/>
            <w:shd w:fill="E6F4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2026-08-16T18:44:53.344Z</dcterms:created>
  <dcterms:modified xsi:type="dcterms:W3CDTF">2026-08-16T18:44:53.344Z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