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6B7280"/>
          <w:sz w:val="20"/>
          <w:szCs w:val="20"/>
        </w:rPr>
        <w:t xml:space="preserve">APRENDIZAJE DE MÁQUINA · CORTE 1 · TALLER 2</w:t>
      </w:r>
    </w:p>
    <w:p>
      <w:pPr>
        <w:spacing w:after="60"/>
      </w:pPr>
      <w:r>
        <w:rPr>
          <w:b/>
          <w:bCs/>
          <w:color w:val="0F766E"/>
          <w:sz w:val="38"/>
          <w:szCs w:val="38"/>
        </w:rPr>
        <w:t xml:space="preserve">Parte B — KNN</w:t>
      </w:r>
    </w:p>
    <w:p>
      <w:pPr>
        <w:spacing w:after="220"/>
      </w:pPr>
      <w:r>
        <w:rPr>
          <w:i/>
          <w:iCs/>
          <w:color w:val="6B7280"/>
          <w:sz w:val="20"/>
          <w:szCs w:val="20"/>
        </w:rPr>
        <w:t xml:space="preserve">Aplicado al proyecto Shiro Twin (Energía y Medio Ambiente / IoT)</w:t>
      </w:r>
    </w:p>
    <w:p>
      <w:pPr>
        <w:spacing w:after="80"/>
      </w:pPr>
      <w:r>
        <w:rPr>
          <w:b/>
          <w:bCs/>
        </w:rPr>
        <w:t xml:space="preserve">Grupo: </w:t>
      </w:r>
      <w:r>
        <w:t xml:space="preserve"> </w:t>
      </w:r>
    </w:p>
    <w:p>
      <w:pPr>
        <w:spacing w:after="80"/>
      </w:pPr>
      <w:r>
        <w:rPr>
          <w:b/>
          <w:bCs/>
        </w:rPr>
        <w:t xml:space="preserve">Dataset base (Taller 1): </w:t>
      </w:r>
      <w:r>
        <w:t xml:space="preserve"> </w:t>
      </w:r>
    </w:p>
    <w:p>
      <w:pPr>
        <w:spacing w:after="80"/>
      </w:pPr>
      <w:r>
        <w:rPr>
          <w:b/>
          <w:bCs/>
        </w:rPr>
        <w:t xml:space="preserve">Fecha: </w:t>
      </w:r>
      <w:r>
        <w:t xml:space="preserve"> </w:t>
      </w:r>
    </w:p>
    <w:p>
      <w:pPr>
        <w:pBdr>
          <w:bottom w:val="single" w:color="0F766E" w:sz="6"/>
        </w:pBdr>
        <w:spacing w:after="200" w:before="100"/>
      </w:pPr>
    </w:p>
    <w:p>
      <w:pPr>
        <w:pStyle w:val="Heading1"/>
        <w:spacing w:after="180" w:before="420"/>
      </w:pPr>
      <w:r>
        <w:rPr>
          <w:b/>
          <w:bCs/>
          <w:color w:val="0F766E"/>
        </w:rPr>
        <w:t xml:space="preserve">Adaptación del caso al sector</w:t>
      </w:r>
    </w:p>
    <w:p>
      <w:pPr>
        <w:spacing w:after="140" w:line="300"/>
      </w:pPr>
      <w:r>
        <w:t xml:space="preserve">El ejercicio original del profesor usa como ejemplo predecir cuánto tarda en adoptarse una mascota según su raza, tamaño y edad. La adaptación a Shiro Twin usa KNN como clasificador para distinguir si una lectura de consumo es “normal” o “anómala” (o a qué franja horaria/tipo de día pertenece) — complementando el árbol de decisión de la Parte A, que se enfocó en regresión.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250"/>
      </w:tblGrid>
      <w:tr>
        <w:trPr>
          <w:cantSplit/>
          <w:tblHeader/>
        </w:trPr>
        <w:tc>
          <w:tcPr>
            <w:tcW w:type="dxa" w:w="3100"/>
            <w:shd w:fill="0F766E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Elemento del ejercicio</w:t>
            </w:r>
          </w:p>
        </w:tc>
        <w:tc>
          <w:tcPr>
            <w:tcW w:type="dxa" w:w="6250"/>
            <w:shd w:fill="0F766E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Adaptación sugerida a Shiro Twin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Variable objetivo (clasificación)</w:t>
            </w:r>
          </w:p>
        </w:tc>
        <w:tc>
          <w:tcPr>
            <w:tcW w:type="dxa" w:w="62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Categoría de la lectura: “normal” / “anómala”, o franja horaria (madrugada / mañana / tarde / noche), o día laboral / fin de semana.</w:t>
            </w:r>
          </w:p>
        </w:tc>
      </w:tr>
      <w:tr>
        <w:trPr>
          <w:cantSplit/>
        </w:trPr>
        <w:tc>
          <w:tcPr>
            <w:tcW w:type="dxa" w:w="3100"/>
            <w:shd w:fill="E6F4F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Variables predictoras</w:t>
            </w:r>
          </w:p>
        </w:tc>
        <w:tc>
          <w:tcPr>
            <w:tcW w:type="dxa" w:w="6250"/>
            <w:shd w:fill="E6F4F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Las mismas que en la Parte A: hora del día, sub-medidores (cocina, lavandería/refrigerador, agua caliente/AC), temperatura o clima si el dataset lo incluye.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Alternativa (regresión)</w:t>
            </w:r>
          </w:p>
        </w:tc>
        <w:tc>
          <w:tcPr>
            <w:tcW w:type="dxa" w:w="62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Si el grupo prefiere, usar KNN Regressor sobre el consumo agregado — así se puede comparar directamente con el árbol de la Parte A.</w:t>
            </w:r>
          </w:p>
        </w:tc>
      </w:tr>
    </w:tbl>
    <w:p>
      <w:pPr>
        <w:pBdr>
          <w:left w:val="single" w:color="B45309" w:sz="24"/>
        </w:pBdr>
        <w:shd w:fill="FEF3E2" w:val="clear"/>
        <w:spacing w:after="220" w:before="140"/>
      </w:pPr>
      <w:r>
        <w:rPr>
          <w:i/>
          <w:iCs/>
          <w:color w:val="1F2937"/>
          <w:sz w:val="20"/>
          <w:szCs w:val="20"/>
        </w:rPr>
        <w:t xml:space="preserve">  Elige la variante (clasificación o regresión) que mejor aplique a tu contexto — el taller acepta cualquiera de las dos, como indica el enunciado original.</w:t>
      </w:r>
    </w:p>
    <w:p>
      <w:pPr>
        <w:pStyle w:val="Heading1"/>
        <w:pageBreakBefore/>
        <w:spacing w:after="180" w:before="420"/>
      </w:pPr>
      <w:r>
        <w:rPr>
          <w:b/>
          <w:bCs/>
          <w:color w:val="0F766E"/>
        </w:rPr>
        <w:t xml:space="preserve">1. Preprocesamiento del dataset</w:t>
      </w:r>
    </w:p>
    <w:p>
      <w:pPr>
        <w:spacing w:after="140" w:line="300"/>
      </w:pPr>
      <w:r>
        <w:t xml:space="preserve">Antes de aplicar KNN, responde estas preguntas sobre el dataset elegido en el Taller 1.</w:t>
      </w:r>
    </w:p>
    <w:p>
      <w:pPr>
        <w:pStyle w:val="Heading2"/>
        <w:spacing w:after="120" w:before="260"/>
      </w:pPr>
      <w:r>
        <w:rPr>
          <w:b/>
          <w:bCs/>
          <w:color w:val="1F2937"/>
        </w:rPr>
        <w:t xml:space="preserve">¿Qué variables son relevantes para la predicción?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Respuesta</w:t>
            </w:r>
          </w:p>
        </w:tc>
      </w:tr>
      <w:tr>
        <w:trPr>
          <w:cantSplit/>
        </w:trPr>
        <w:tc>
          <w:tcPr>
            <w:tcW w:type="dxa" w:w="9350"/>
            <w:shd w:fill="E6F4F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60"/>
              <w:jc w:val="left"/>
            </w:pPr>
            <w:r>
              <w:rPr>
                <w:sz w:val="19"/>
                <w:szCs w:val="19"/>
              </w:rPr>
              <w:t xml:space="preserve"> </w:t>
            </w:r>
          </w:p>
          <w:p>
            <w:pPr>
              <w:spacing w:after="60"/>
              <w:jc w:val="left"/>
            </w:pPr>
            <w:r>
              <w:rPr>
                <w:sz w:val="19"/>
                <w:szCs w:val="19"/>
              </w:rPr>
              <w:t xml:space="preserve"> 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1F2937"/>
        </w:rPr>
        <w:t xml:space="preserve">¿Cómo tratarías los valores faltantes?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Recuerda que el dataset UCI Household Power Consumption tiene ~1.25% de valores faltantes documentados.</w:t>
            </w:r>
          </w:p>
        </w:tc>
      </w:tr>
      <w:tr>
        <w:trPr>
          <w:cantSplit/>
        </w:trPr>
        <w:tc>
          <w:tcPr>
            <w:tcW w:type="dxa" w:w="9350"/>
            <w:shd w:fill="E6F4F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60"/>
              <w:jc w:val="left"/>
            </w:pPr>
            <w:r>
              <w:rPr>
                <w:sz w:val="19"/>
                <w:szCs w:val="19"/>
              </w:rPr>
              <w:t xml:space="preserve"> </w:t>
            </w:r>
          </w:p>
          <w:p>
            <w:pPr>
              <w:spacing w:after="60"/>
              <w:jc w:val="left"/>
            </w:pPr>
            <w:r>
              <w:rPr>
                <w:sz w:val="19"/>
                <w:szCs w:val="19"/>
              </w:rPr>
              <w:t xml:space="preserve"> 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1F2937"/>
        </w:rPr>
        <w:t xml:space="preserve">¿Cómo tratarías las variables categóricas (p. ej. día de la semana, franja horaria)?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Considera codificación one-hot u ordinal según el caso.</w:t>
            </w:r>
          </w:p>
        </w:tc>
      </w:tr>
      <w:tr>
        <w:trPr>
          <w:cantSplit/>
        </w:trPr>
        <w:tc>
          <w:tcPr>
            <w:tcW w:type="dxa" w:w="9350"/>
            <w:shd w:fill="E6F4F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60"/>
              <w:jc w:val="left"/>
            </w:pPr>
            <w:r>
              <w:rPr>
                <w:sz w:val="19"/>
                <w:szCs w:val="19"/>
              </w:rPr>
              <w:t xml:space="preserve"> </w:t>
            </w:r>
          </w:p>
          <w:p>
            <w:pPr>
              <w:spacing w:after="60"/>
              <w:jc w:val="left"/>
            </w:pPr>
            <w:r>
              <w:rPr>
                <w:sz w:val="19"/>
                <w:szCs w:val="19"/>
              </w:rPr>
              <w:t xml:space="preserve"> </w:t>
            </w:r>
          </w:p>
        </w:tc>
      </w:tr>
    </w:tbl>
    <w:p>
      <w:pPr>
        <w:pBdr>
          <w:left w:val="single" w:color="B45309" w:sz="24"/>
        </w:pBdr>
        <w:shd w:fill="FEF3E2" w:val="clear"/>
        <w:spacing w:after="220" w:before="140"/>
      </w:pPr>
      <w:r>
        <w:rPr>
          <w:i/>
          <w:iCs/>
          <w:color w:val="1F2937"/>
          <w:sz w:val="20"/>
          <w:szCs w:val="20"/>
        </w:rPr>
        <w:t xml:space="preserve">  KNN es un algoritmo basado en distancia: es indispensable escalar/normalizar las variables numéricas (StandardScaler o MinMaxScaler) antes de entrenar — si no, las variables con rangos más grandes dominan la distancia y distorsionan el resultado.</w:t>
      </w:r>
    </w:p>
    <w:p>
      <w:pPr>
        <w:pStyle w:val="Heading1"/>
        <w:spacing w:after="180" w:before="420"/>
      </w:pPr>
      <w:r>
        <w:rPr>
          <w:b/>
          <w:bCs/>
          <w:color w:val="0F766E"/>
        </w:rPr>
        <w:t xml:space="preserve">2. Elección de K</w:t>
      </w:r>
    </w:p>
    <w:p>
      <w:pPr>
        <w:spacing w:after="140" w:line="300"/>
      </w:pPr>
      <w:r>
        <w:t xml:space="preserve">Prueba distintos valores de K y registra el desempeño de cada uno para justificar tu elección final.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700"/>
        <w:gridCol w:w="3150"/>
      </w:tblGrid>
      <w:tr>
        <w:trPr>
          <w:cantSplit/>
          <w:tblHeader/>
        </w:trPr>
        <w:tc>
          <w:tcPr>
            <w:tcW w:type="dxa" w:w="1500"/>
            <w:shd w:fill="0F766E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 probado</w:t>
            </w:r>
          </w:p>
        </w:tc>
        <w:tc>
          <w:tcPr>
            <w:tcW w:type="dxa" w:w="4700"/>
            <w:shd w:fill="0F766E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Métrica de evaluación obtenida</w:t>
            </w:r>
          </w:p>
        </w:tc>
        <w:tc>
          <w:tcPr>
            <w:tcW w:type="dxa" w:w="3150"/>
            <w:shd w:fill="0F766E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Observación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3</w:t>
            </w:r>
          </w:p>
        </w:tc>
        <w:tc>
          <w:tcPr>
            <w:tcW w:type="dxa" w:w="47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60"/>
              <w:jc w:val="left"/>
            </w:pPr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31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60"/>
              <w:jc w:val="left"/>
            </w:pPr>
            <w:r>
              <w:rPr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500"/>
            <w:shd w:fill="E6F4F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5</w:t>
            </w:r>
          </w:p>
        </w:tc>
        <w:tc>
          <w:tcPr>
            <w:tcW w:type="dxa" w:w="4700"/>
            <w:shd w:fill="E6F4F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60"/>
              <w:jc w:val="left"/>
            </w:pPr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3150"/>
            <w:shd w:fill="E6F4F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60"/>
              <w:jc w:val="left"/>
            </w:pPr>
            <w:r>
              <w:rPr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7</w:t>
            </w:r>
          </w:p>
        </w:tc>
        <w:tc>
          <w:tcPr>
            <w:tcW w:type="dxa" w:w="47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60"/>
              <w:jc w:val="left"/>
            </w:pPr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31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60"/>
              <w:jc w:val="left"/>
            </w:pPr>
            <w:r>
              <w:rPr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500"/>
            <w:shd w:fill="E6F4F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9</w:t>
            </w:r>
          </w:p>
        </w:tc>
        <w:tc>
          <w:tcPr>
            <w:tcW w:type="dxa" w:w="4700"/>
            <w:shd w:fill="E6F4F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60"/>
              <w:jc w:val="left"/>
            </w:pPr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3150"/>
            <w:shd w:fill="E6F4F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60"/>
              <w:jc w:val="left"/>
            </w:pPr>
            <w:r>
              <w:rPr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11</w:t>
            </w:r>
          </w:p>
        </w:tc>
        <w:tc>
          <w:tcPr>
            <w:tcW w:type="dxa" w:w="47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60"/>
              <w:jc w:val="left"/>
            </w:pPr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31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60"/>
              <w:jc w:val="left"/>
            </w:pPr>
            <w:r>
              <w:rPr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500"/>
            <w:shd w:fill="E6F4F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15</w:t>
            </w:r>
          </w:p>
        </w:tc>
        <w:tc>
          <w:tcPr>
            <w:tcW w:type="dxa" w:w="4700"/>
            <w:shd w:fill="E6F4F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60"/>
              <w:jc w:val="left"/>
            </w:pPr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3150"/>
            <w:shd w:fill="E6F4F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60"/>
              <w:jc w:val="left"/>
            </w:pPr>
            <w:r>
              <w:rPr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21</w:t>
            </w:r>
          </w:p>
        </w:tc>
        <w:tc>
          <w:tcPr>
            <w:tcW w:type="dxa" w:w="470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60"/>
              <w:jc w:val="left"/>
            </w:pPr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31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60"/>
              <w:jc w:val="left"/>
            </w:pPr>
            <w:r>
              <w:rPr>
                <w:sz w:val="19"/>
                <w:szCs w:val="19"/>
              </w:rPr>
              <w:t xml:space="preserve"> 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1F2937"/>
        </w:rPr>
        <w:t xml:space="preserve">¿Qué valor de K elegiste y por qué?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Justifica cuál se adapta mejor al problema seleccionado.</w:t>
            </w:r>
          </w:p>
        </w:tc>
      </w:tr>
      <w:tr>
        <w:trPr>
          <w:cantSplit/>
        </w:trPr>
        <w:tc>
          <w:tcPr>
            <w:tcW w:type="dxa" w:w="9350"/>
            <w:shd w:fill="E6F4F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60"/>
              <w:jc w:val="left"/>
            </w:pPr>
            <w:r>
              <w:rPr>
                <w:sz w:val="19"/>
                <w:szCs w:val="19"/>
              </w:rPr>
              <w:t xml:space="preserve"> </w:t>
            </w:r>
          </w:p>
          <w:p>
            <w:pPr>
              <w:spacing w:after="60"/>
              <w:jc w:val="left"/>
            </w:pPr>
            <w:r>
              <w:rPr>
                <w:sz w:val="19"/>
                <w:szCs w:val="19"/>
              </w:rPr>
              <w:t xml:space="preserve"> </w:t>
            </w:r>
          </w:p>
          <w:p>
            <w:pPr>
              <w:spacing w:after="60"/>
              <w:jc w:val="left"/>
            </w:pPr>
            <w:r>
              <w:rPr>
                <w:sz w:val="19"/>
                <w:szCs w:val="19"/>
              </w:rPr>
              <w:t xml:space="preserve"> </w:t>
            </w:r>
          </w:p>
        </w:tc>
      </w:tr>
    </w:tbl>
    <w:p>
      <w:pPr>
        <w:pStyle w:val="Heading1"/>
        <w:pageBreakBefore/>
        <w:spacing w:after="180" w:before="420"/>
      </w:pPr>
      <w:r>
        <w:rPr>
          <w:b/>
          <w:bCs/>
          <w:color w:val="0F766E"/>
        </w:rPr>
        <w:t xml:space="preserve">3. Entrenamiento y evaluación del modelo</w:t>
      </w:r>
    </w:p>
    <w:p>
      <w:pPr>
        <w:spacing w:after="140" w:line="300"/>
      </w:pPr>
      <w:r>
        <w:t xml:space="preserve">Completa la tabla que corresponda al tipo de problema elegido (clasificación o regresión).</w:t>
      </w:r>
    </w:p>
    <w:p>
      <w:pPr>
        <w:pStyle w:val="Heading2"/>
        <w:spacing w:after="120" w:before="260"/>
      </w:pPr>
      <w:r>
        <w:rPr>
          <w:b/>
          <w:bCs/>
          <w:color w:val="1F2937"/>
        </w:rPr>
        <w:t xml:space="preserve">Si es clasificación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30"/>
      </w:tblGrid>
      <w:tr>
        <w:trPr>
          <w:cantSplit/>
          <w:tblHeader/>
        </w:trPr>
        <w:tc>
          <w:tcPr>
            <w:tcW w:type="dxa" w:w="2340"/>
            <w:shd w:fill="0F766E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Accuracy</w:t>
            </w:r>
          </w:p>
        </w:tc>
        <w:tc>
          <w:tcPr>
            <w:tcW w:type="dxa" w:w="2340"/>
            <w:shd w:fill="0F766E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Precision</w:t>
            </w:r>
          </w:p>
        </w:tc>
        <w:tc>
          <w:tcPr>
            <w:tcW w:type="dxa" w:w="2340"/>
            <w:shd w:fill="0F766E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Recall</w:t>
            </w:r>
          </w:p>
        </w:tc>
        <w:tc>
          <w:tcPr>
            <w:tcW w:type="dxa" w:w="2330"/>
            <w:shd w:fill="0F766E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F1-score</w:t>
            </w:r>
          </w:p>
        </w:tc>
      </w:tr>
      <w:tr>
        <w:trPr>
          <w:cantSplit/>
        </w:trPr>
        <w:tc>
          <w:tcPr>
            <w:tcW w:type="dxa" w:w="234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60"/>
              <w:jc w:val="left"/>
            </w:pPr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34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60"/>
              <w:jc w:val="left"/>
            </w:pPr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34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60"/>
              <w:jc w:val="left"/>
            </w:pPr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233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60"/>
              <w:jc w:val="left"/>
            </w:pPr>
            <w:r>
              <w:rPr>
                <w:sz w:val="19"/>
                <w:szCs w:val="19"/>
              </w:rPr>
              <w:t xml:space="preserve"> 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1F2937"/>
        </w:rPr>
        <w:t xml:space="preserve">Si es regresión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10"/>
      </w:tblGrid>
      <w:tr>
        <w:trPr>
          <w:cantSplit/>
          <w:tblHeader/>
        </w:trPr>
        <w:tc>
          <w:tcPr>
            <w:tcW w:type="dxa" w:w="3120"/>
            <w:shd w:fill="0F766E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MAE</w:t>
            </w:r>
          </w:p>
        </w:tc>
        <w:tc>
          <w:tcPr>
            <w:tcW w:type="dxa" w:w="3120"/>
            <w:shd w:fill="0F766E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RMSE</w:t>
            </w:r>
          </w:p>
        </w:tc>
        <w:tc>
          <w:tcPr>
            <w:tcW w:type="dxa" w:w="3110"/>
            <w:shd w:fill="0F766E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R²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60"/>
              <w:jc w:val="left"/>
            </w:pPr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312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60"/>
              <w:jc w:val="left"/>
            </w:pPr>
            <w:r>
              <w:rPr>
                <w:sz w:val="19"/>
                <w:szCs w:val="19"/>
              </w:rPr>
              <w:t xml:space="preserve"> </w:t>
            </w:r>
          </w:p>
        </w:tc>
        <w:tc>
          <w:tcPr>
            <w:tcW w:type="dxa" w:w="311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60"/>
              <w:jc w:val="left"/>
            </w:pPr>
            <w:r>
              <w:rPr>
                <w:sz w:val="19"/>
                <w:szCs w:val="19"/>
              </w:rPr>
              <w:t xml:space="preserve"> 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1F2937"/>
        </w:rPr>
        <w:t xml:space="preserve">¿El modelo predice correctamente lo que están trabajando?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Respuesta</w:t>
            </w:r>
          </w:p>
        </w:tc>
      </w:tr>
      <w:tr>
        <w:trPr>
          <w:cantSplit/>
        </w:trPr>
        <w:tc>
          <w:tcPr>
            <w:tcW w:type="dxa" w:w="9350"/>
            <w:shd w:fill="E6F4F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60"/>
              <w:jc w:val="left"/>
            </w:pPr>
            <w:r>
              <w:rPr>
                <w:sz w:val="19"/>
                <w:szCs w:val="19"/>
              </w:rPr>
              <w:t xml:space="preserve"> </w:t>
            </w:r>
          </w:p>
          <w:p>
            <w:pPr>
              <w:spacing w:after="60"/>
              <w:jc w:val="left"/>
            </w:pPr>
            <w:r>
              <w:rPr>
                <w:sz w:val="19"/>
                <w:szCs w:val="19"/>
              </w:rPr>
              <w:t xml:space="preserve"> </w:t>
            </w:r>
          </w:p>
          <w:p>
            <w:pPr>
              <w:spacing w:after="60"/>
              <w:jc w:val="left"/>
            </w:pPr>
            <w:r>
              <w:rPr>
                <w:sz w:val="19"/>
                <w:szCs w:val="19"/>
              </w:rPr>
              <w:t xml:space="preserve"> </w:t>
            </w:r>
          </w:p>
        </w:tc>
      </w:tr>
    </w:tbl>
    <w:p>
      <w:pPr>
        <w:pStyle w:val="Heading1"/>
        <w:pageBreakBefore/>
        <w:spacing w:after="180" w:before="420"/>
      </w:pPr>
      <w:r>
        <w:rPr>
          <w:b/>
          <w:bCs/>
          <w:color w:val="0F766E"/>
        </w:rPr>
        <w:t xml:space="preserve">4. Análisis de resultados</w:t>
      </w:r>
    </w:p>
    <w:p>
      <w:pPr>
        <w:pStyle w:val="Heading2"/>
        <w:spacing w:after="120" w:before="260"/>
      </w:pPr>
      <w:r>
        <w:rPr>
          <w:b/>
          <w:bCs/>
          <w:color w:val="1F2937"/>
        </w:rPr>
        <w:t xml:space="preserve">Adaptado del caso mascotas — ¿qué franjas horarias o tipos de día son más difíciles de predecir?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Respuesta</w:t>
            </w:r>
          </w:p>
        </w:tc>
      </w:tr>
      <w:tr>
        <w:trPr>
          <w:cantSplit/>
        </w:trPr>
        <w:tc>
          <w:tcPr>
            <w:tcW w:type="dxa" w:w="9350"/>
            <w:shd w:fill="E6F4F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60"/>
              <w:jc w:val="left"/>
            </w:pPr>
            <w:r>
              <w:rPr>
                <w:sz w:val="19"/>
                <w:szCs w:val="19"/>
              </w:rPr>
              <w:t xml:space="preserve"> </w:t>
            </w:r>
          </w:p>
          <w:p>
            <w:pPr>
              <w:spacing w:after="60"/>
              <w:jc w:val="left"/>
            </w:pPr>
            <w:r>
              <w:rPr>
                <w:sz w:val="19"/>
                <w:szCs w:val="19"/>
              </w:rPr>
              <w:t xml:space="preserve"> </w:t>
            </w:r>
          </w:p>
          <w:p>
            <w:pPr>
              <w:spacing w:after="60"/>
              <w:jc w:val="left"/>
            </w:pPr>
            <w:r>
              <w:rPr>
                <w:sz w:val="19"/>
                <w:szCs w:val="19"/>
              </w:rPr>
              <w:t xml:space="preserve"> 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1F2937"/>
        </w:rPr>
        <w:t xml:space="preserve">Adaptado del caso mascotas — ¿el modelo tiene alguna tendencia a clasificar erróneamente ciertos grupos?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Por ejemplo, ¿confunde “anómalo” con “normal” en ciertas horas, o en cierto sub-medidor?</w:t>
            </w:r>
          </w:p>
        </w:tc>
      </w:tr>
      <w:tr>
        <w:trPr>
          <w:cantSplit/>
        </w:trPr>
        <w:tc>
          <w:tcPr>
            <w:tcW w:type="dxa" w:w="9350"/>
            <w:shd w:fill="E6F4F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60"/>
              <w:jc w:val="left"/>
            </w:pPr>
            <w:r>
              <w:rPr>
                <w:sz w:val="19"/>
                <w:szCs w:val="19"/>
              </w:rPr>
              <w:t xml:space="preserve"> </w:t>
            </w:r>
          </w:p>
          <w:p>
            <w:pPr>
              <w:spacing w:after="60"/>
              <w:jc w:val="left"/>
            </w:pPr>
            <w:r>
              <w:rPr>
                <w:sz w:val="19"/>
                <w:szCs w:val="19"/>
              </w:rPr>
              <w:t xml:space="preserve"> </w:t>
            </w:r>
          </w:p>
          <w:p>
            <w:pPr>
              <w:spacing w:after="60"/>
              <w:jc w:val="left"/>
            </w:pPr>
            <w:r>
              <w:rPr>
                <w:sz w:val="19"/>
                <w:szCs w:val="19"/>
              </w:rPr>
              <w:t xml:space="preserve"> 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1F2937"/>
        </w:rPr>
        <w:t xml:space="preserve">Matriz de confusión (si aplica)</w:t>
      </w:r>
    </w:p>
    <w:p>
      <w:pPr>
        <w:spacing w:after="140" w:line="300"/>
      </w:pPr>
      <w:r>
        <w:rPr>
          <w:i/>
          <w:iCs/>
          <w:color w:val="6B7280"/>
        </w:rPr>
        <w:t xml:space="preserve">Espacio reservado para pegar la matriz de confusión en el informe final del grupo.</w:t>
      </w:r>
    </w:p>
    <w:p>
      <w:pPr>
        <w:pStyle w:val="Heading2"/>
        <w:spacing w:after="120" w:before="260"/>
      </w:pPr>
      <w:r>
        <w:rPr>
          <w:b/>
          <w:bCs/>
          <w:color w:val="1F2937"/>
        </w:rPr>
        <w:t xml:space="preserve">Comparación con el Árbol de Decisión (Parte A)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¿Qué modelo funcionó mejor y por qué?</w:t>
            </w:r>
          </w:p>
        </w:tc>
      </w:tr>
      <w:tr>
        <w:trPr>
          <w:cantSplit/>
        </w:trPr>
        <w:tc>
          <w:tcPr>
            <w:tcW w:type="dxa" w:w="9350"/>
            <w:shd w:fill="E6F4F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60"/>
              <w:jc w:val="left"/>
            </w:pPr>
            <w:r>
              <w:rPr>
                <w:sz w:val="19"/>
                <w:szCs w:val="19"/>
              </w:rPr>
              <w:t xml:space="preserve"> </w:t>
            </w:r>
          </w:p>
          <w:p>
            <w:pPr>
              <w:spacing w:after="60"/>
              <w:jc w:val="left"/>
            </w:pPr>
            <w:r>
              <w:rPr>
                <w:sz w:val="19"/>
                <w:szCs w:val="19"/>
              </w:rPr>
              <w:t xml:space="preserve"> </w:t>
            </w:r>
          </w:p>
          <w:p>
            <w:pPr>
              <w:spacing w:after="60"/>
              <w:jc w:val="left"/>
            </w:pPr>
            <w:r>
              <w:rPr>
                <w:sz w:val="19"/>
                <w:szCs w:val="19"/>
              </w:rPr>
              <w:t xml:space="preserve"> </w:t>
            </w:r>
          </w:p>
        </w:tc>
      </w:tr>
    </w:tbl>
    <w:p>
      <w:pPr>
        <w:pStyle w:val="Heading1"/>
        <w:spacing w:after="180" w:before="420"/>
      </w:pPr>
      <w:r>
        <w:rPr>
          <w:b/>
          <w:bCs/>
          <w:color w:val="0F766E"/>
        </w:rPr>
        <w:t xml:space="preserve">5. Conclusión y conexión con Shiro Twin</w:t>
      </w:r>
    </w:p>
    <w:p>
      <w:pPr>
        <w:spacing w:after="140" w:line="300"/>
      </w:pPr>
      <w:r>
        <w:t xml:space="preserve">Junto con la Parte A, este modelo completa el criterio de cierre de la Fase 1 del plan unificado: “al menos un modelo de regresión y uno de clasificación entrenados y evaluados sobre datos reales”.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F2937"/>
                <w:sz w:val="19"/>
                <w:szCs w:val="19"/>
              </w:rPr>
              <w:t xml:space="preserve">Conclusión general del grupo sobre este modelo.</w:t>
            </w:r>
          </w:p>
        </w:tc>
      </w:tr>
      <w:tr>
        <w:trPr>
          <w:cantSplit/>
        </w:trPr>
        <w:tc>
          <w:tcPr>
            <w:tcW w:type="dxa" w:w="9350"/>
            <w:shd w:fill="E6F4F1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60"/>
              <w:jc w:val="left"/>
            </w:pPr>
            <w:r>
              <w:rPr>
                <w:sz w:val="19"/>
                <w:szCs w:val="19"/>
              </w:rPr>
              <w:t xml:space="preserve"> </w:t>
            </w:r>
          </w:p>
          <w:p>
            <w:pPr>
              <w:spacing w:after="60"/>
              <w:jc w:val="left"/>
            </w:pPr>
            <w:r>
              <w:rPr>
                <w:sz w:val="19"/>
                <w:szCs w:val="19"/>
              </w:rPr>
              <w:t xml:space="preserve"> </w:t>
            </w:r>
          </w:p>
          <w:p>
            <w:pPr>
              <w:spacing w:after="60"/>
              <w:jc w:val="left"/>
            </w:pPr>
            <w:r>
              <w:rPr>
                <w:sz w:val="19"/>
                <w:szCs w:val="19"/>
              </w:rPr>
              <w:t xml:space="preserve"> </w:t>
            </w:r>
          </w:p>
          <w:p>
            <w:pPr>
              <w:spacing w:after="60"/>
              <w:jc w:val="left"/>
            </w:pPr>
            <w:r>
              <w:rPr>
                <w:sz w:val="19"/>
                <w:szCs w:val="19"/>
              </w:rPr>
              <w:t xml:space="preserve"> 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2026-08-16T18:46:16.235Z</dcterms:created>
  <dcterms:modified xsi:type="dcterms:W3CDTF">2026-08-16T18:46:16.235Z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