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555555"/>
          <w:sz w:val="19"/>
        </w:rPr>
        <w:t>APRENDIZAJE DE MÁQUINA · 2.º CORTE · VIDEO</w:t>
      </w:r>
    </w:p>
    <w:p>
      <w:pPr>
        <w:spacing w:after="40"/>
      </w:pPr>
      <w:r>
        <w:rPr>
          <w:rFonts w:ascii="Calibri" w:hAnsi="Calibri"/>
          <w:b/>
          <w:color w:val="1F3864"/>
          <w:sz w:val="38"/>
        </w:rPr>
        <w:t>Guion del video — los cuatro talleres del 2.º corte</w:t>
      </w:r>
    </w:p>
    <w:p>
      <w:pPr>
        <w:spacing w:before="0" w:after="200"/>
      </w:pPr>
      <w:r>
        <w:rPr>
          <w:rFonts w:ascii="Calibri" w:hAnsi="Calibri"/>
          <w:b w:val="0"/>
          <w:i w:val="0"/>
          <w:color w:val="555555"/>
          <w:sz w:val="22"/>
        </w:rPr>
        <w:t>Para presentar Presentacion_Talleres_C2_Shiro.pptx entre cuatro personas</w:t>
      </w:r>
    </w:p>
    <w:tbl>
      <w:tblPr>
        <w:tblStyle w:val="TableGrid"/>
        <w:tblW w:type="auto" w:w="0"/>
        <w:jc w:val="center"/>
        <w:tblLook w:firstColumn="1" w:firstRow="1" w:lastColumn="0" w:lastRow="0" w:noHBand="0" w:noVBand="1" w:val="04A0"/>
      </w:tblPr>
      <w:tblGrid>
        <w:gridCol w:w="4873"/>
        <w:gridCol w:w="4873"/>
      </w:tblGrid>
      <w:tr>
        <w:tc>
          <w:tcPr>
            <w:tcW w:type="dxa" w:w="2041"/>
            <w:shd w:val="clear" w:color="auto" w:fill="1F3864"/>
          </w:tcPr>
          <w:p>
            <w:pPr>
              <w:keepNext/>
              <w:spacing w:before="40" w:after="40"/>
            </w:pPr>
            <w:r/>
            <w:r>
              <w:rPr>
                <w:rFonts w:ascii="Calibri" w:hAnsi="Calibri"/>
                <w:b/>
                <w:i w:val="0"/>
                <w:color w:val="FFFFFF"/>
                <w:sz w:val="18"/>
              </w:rPr>
              <w:t>Campo</w:t>
            </w:r>
          </w:p>
        </w:tc>
        <w:tc>
          <w:tcPr>
            <w:tcW w:type="dxa" w:w="7143"/>
            <w:shd w:val="clear" w:color="auto" w:fill="1F3864"/>
          </w:tcPr>
          <w:p>
            <w:pPr>
              <w:keepNext/>
              <w:spacing w:before="40" w:after="40"/>
            </w:pPr>
            <w:r/>
            <w:r>
              <w:rPr>
                <w:rFonts w:ascii="Calibri" w:hAnsi="Calibri"/>
                <w:b/>
                <w:i w:val="0"/>
                <w:color w:val="FFFFFF"/>
                <w:sz w:val="18"/>
              </w:rPr>
              <w:t>Valor</w:t>
            </w:r>
          </w:p>
        </w:tc>
      </w:tr>
      <w:tr>
        <w:tc>
          <w:tcPr>
            <w:tcW w:type="dxa" w:w="2041"/>
          </w:tcPr>
          <w:p>
            <w:pPr>
              <w:keepNext/>
              <w:spacing w:before="40" w:after="40"/>
            </w:pPr>
            <w:r/>
            <w:r>
              <w:rPr>
                <w:rFonts w:ascii="Calibri" w:hAnsi="Calibri"/>
                <w:b w:val="0"/>
                <w:i w:val="0"/>
                <w:color w:val="000000"/>
                <w:sz w:val="18"/>
              </w:rPr>
              <w:t>Grupo</w:t>
            </w:r>
          </w:p>
        </w:tc>
        <w:tc>
          <w:tcPr>
            <w:tcW w:type="dxa" w:w="7143"/>
          </w:tcPr>
          <w:p>
            <w:pPr>
              <w:keepNext/>
              <w:spacing w:before="40" w:after="40"/>
            </w:pPr>
            <w:r/>
            <w:r>
              <w:rPr>
                <w:rFonts w:ascii="Calibri" w:hAnsi="Calibri"/>
                <w:b w:val="0"/>
                <w:i w:val="0"/>
                <w:color w:val="000000"/>
                <w:sz w:val="18"/>
              </w:rPr>
              <w:t>Shiro — Jose Leonardo Diazgranados, Sofía Londoño, Andrés Felipe Céspedes Rondón, Alex Duran</w:t>
            </w:r>
          </w:p>
        </w:tc>
      </w:tr>
      <w:tr>
        <w:tc>
          <w:tcPr>
            <w:tcW w:type="dxa" w:w="2041"/>
            <w:shd w:val="clear" w:color="auto" w:fill="FAFAFA"/>
          </w:tcPr>
          <w:p>
            <w:pPr>
              <w:keepNext/>
              <w:spacing w:before="40" w:after="40"/>
            </w:pPr>
            <w:r/>
            <w:r>
              <w:rPr>
                <w:rFonts w:ascii="Calibri" w:hAnsi="Calibri"/>
                <w:b w:val="0"/>
                <w:i w:val="0"/>
                <w:color w:val="000000"/>
                <w:sz w:val="18"/>
              </w:rPr>
              <w:t>Duración objetivo</w:t>
            </w:r>
          </w:p>
        </w:tc>
        <w:tc>
          <w:tcPr>
            <w:tcW w:type="dxa" w:w="7143"/>
            <w:shd w:val="clear" w:color="auto" w:fill="FAFAFA"/>
          </w:tcPr>
          <w:p>
            <w:pPr>
              <w:keepNext/>
              <w:spacing w:before="40" w:after="40"/>
            </w:pPr>
            <w:r/>
            <w:r>
              <w:rPr>
                <w:rFonts w:ascii="Calibri" w:hAnsi="Calibri"/>
                <w:b w:val="0"/>
                <w:i w:val="0"/>
                <w:color w:val="000000"/>
                <w:sz w:val="18"/>
              </w:rPr>
              <w:t>≈ 17 minutos (cuatro bloques de unos 4 min, apertura y cierre)</w:t>
            </w:r>
          </w:p>
        </w:tc>
      </w:tr>
      <w:tr>
        <w:tc>
          <w:tcPr>
            <w:tcW w:type="dxa" w:w="2041"/>
          </w:tcPr>
          <w:p>
            <w:pPr>
              <w:keepNext/>
              <w:spacing w:before="40" w:after="40"/>
            </w:pPr>
            <w:r/>
            <w:r>
              <w:rPr>
                <w:rFonts w:ascii="Calibri" w:hAnsi="Calibri"/>
                <w:b w:val="0"/>
                <w:i w:val="0"/>
                <w:color w:val="000000"/>
                <w:sz w:val="18"/>
              </w:rPr>
              <w:t>Presentación</w:t>
            </w:r>
          </w:p>
        </w:tc>
        <w:tc>
          <w:tcPr>
            <w:tcW w:type="dxa" w:w="7143"/>
          </w:tcPr>
          <w:p>
            <w:pPr>
              <w:keepNext/>
              <w:spacing w:before="40" w:after="40"/>
            </w:pPr>
            <w:r/>
            <w:r>
              <w:rPr>
                <w:rFonts w:ascii="Calibri" w:hAnsi="Calibri"/>
                <w:b w:val="0"/>
                <w:i w:val="0"/>
                <w:color w:val="000000"/>
                <w:sz w:val="18"/>
              </w:rPr>
              <w:t>Presentacion_Talleres_C2_Shiro.pptx — 65 diapositivas con notas del orador</w:t>
            </w:r>
          </w:p>
        </w:tc>
      </w:tr>
      <w:tr>
        <w:tc>
          <w:tcPr>
            <w:tcW w:type="dxa" w:w="2041"/>
            <w:shd w:val="clear" w:color="auto" w:fill="FAFAFA"/>
          </w:tcPr>
          <w:p>
            <w:pPr>
              <w:keepNext/>
              <w:spacing w:before="40" w:after="40"/>
            </w:pPr>
            <w:r/>
            <w:r>
              <w:rPr>
                <w:rFonts w:ascii="Calibri" w:hAnsi="Calibri"/>
                <w:b w:val="0"/>
                <w:i w:val="0"/>
                <w:color w:val="000000"/>
                <w:sz w:val="18"/>
              </w:rPr>
              <w:t>Texto hablado</w:t>
            </w:r>
          </w:p>
        </w:tc>
        <w:tc>
          <w:tcPr>
            <w:tcW w:type="dxa" w:w="7143"/>
            <w:shd w:val="clear" w:color="auto" w:fill="FAFAFA"/>
          </w:tcPr>
          <w:p>
            <w:pPr>
              <w:keepNext/>
              <w:spacing w:before="40" w:after="40"/>
            </w:pPr>
            <w:r/>
            <w:r>
              <w:rPr>
                <w:rFonts w:ascii="Calibri" w:hAnsi="Calibri"/>
                <w:b w:val="0"/>
                <w:i w:val="0"/>
                <w:color w:val="000000"/>
                <w:sz w:val="18"/>
              </w:rPr>
              <w:t>≈ 1.687 palabras en total</w:t>
            </w:r>
          </w:p>
        </w:tc>
      </w:tr>
      <w:tr>
        <w:tc>
          <w:tcPr>
            <w:tcW w:type="dxa" w:w="2041"/>
          </w:tcPr>
          <w:p>
            <w:pPr>
              <w:keepNext w:val="0"/>
              <w:spacing w:before="40" w:after="40"/>
            </w:pPr>
            <w:r/>
            <w:r>
              <w:rPr>
                <w:rFonts w:ascii="Calibri" w:hAnsi="Calibri"/>
                <w:b w:val="0"/>
                <w:i w:val="0"/>
                <w:color w:val="000000"/>
                <w:sz w:val="18"/>
              </w:rPr>
              <w:t>Fecha</w:t>
            </w:r>
          </w:p>
        </w:tc>
        <w:tc>
          <w:tcPr>
            <w:tcW w:type="dxa" w:w="7143"/>
          </w:tcPr>
          <w:p>
            <w:pPr>
              <w:keepNext w:val="0"/>
              <w:spacing w:before="40" w:after="40"/>
            </w:pPr>
            <w:r/>
            <w:r>
              <w:rPr>
                <w:rFonts w:ascii="Calibri" w:hAnsi="Calibri"/>
                <w:b w:val="0"/>
                <w:i w:val="0"/>
                <w:color w:val="000000"/>
                <w:sz w:val="18"/>
              </w:rPr>
              <w:t>2 de octubre de 2026</w:t>
            </w:r>
          </w:p>
        </w:tc>
      </w:tr>
    </w:tbl>
    <w:p>
      <w:pPr>
        <w:spacing w:after="40"/>
      </w:pPr>
    </w:p>
    <w:p>
      <w:pPr>
        <w:keepNext/>
        <w:spacing w:before="320" w:after="140"/>
        <w:pBdr>
          <w:bottom w:val="single" w:sz="8" w:space="3" w:color="1F3864"/>
        </w:pBdr>
      </w:pPr>
      <w:r>
        <w:rPr>
          <w:rFonts w:ascii="Calibri" w:hAnsi="Calibri"/>
          <w:b/>
          <w:color w:val="1F3864"/>
          <w:sz w:val="28"/>
        </w:rPr>
        <w:t>Plan de grabación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175"/>
            <w:shd w:val="clear" w:color="auto" w:fill="1F3864"/>
          </w:tcPr>
          <w:p>
            <w:pPr>
              <w:keepNext/>
              <w:spacing w:before="40" w:after="40"/>
            </w:pPr>
            <w:r/>
            <w:r>
              <w:rPr>
                <w:rFonts w:ascii="Calibri" w:hAnsi="Calibri"/>
                <w:b/>
                <w:i w:val="0"/>
                <w:color w:val="FFFFFF"/>
                <w:sz w:val="19"/>
              </w:rPr>
              <w:t>Bloque</w:t>
            </w:r>
          </w:p>
        </w:tc>
        <w:tc>
          <w:tcPr>
            <w:tcW w:type="dxa" w:w="1928"/>
            <w:shd w:val="clear" w:color="auto" w:fill="1F3864"/>
          </w:tcPr>
          <w:p>
            <w:pPr>
              <w:keepNext/>
              <w:spacing w:before="40" w:after="40"/>
            </w:pPr>
            <w:r/>
            <w:r>
              <w:rPr>
                <w:rFonts w:ascii="Calibri" w:hAnsi="Calibri"/>
                <w:b/>
                <w:i w:val="0"/>
                <w:color w:val="FFFFFF"/>
                <w:sz w:val="19"/>
              </w:rPr>
              <w:t>Quién habla</w:t>
            </w:r>
          </w:p>
        </w:tc>
        <w:tc>
          <w:tcPr>
            <w:tcW w:type="dxa" w:w="1701"/>
            <w:shd w:val="clear" w:color="auto" w:fill="1F3864"/>
          </w:tcPr>
          <w:p>
            <w:pPr>
              <w:keepNext/>
              <w:spacing w:before="40" w:after="40"/>
              <w:jc w:val="center"/>
            </w:pPr>
            <w:r/>
            <w:r>
              <w:rPr>
                <w:rFonts w:ascii="Calibri" w:hAnsi="Calibri"/>
                <w:b/>
                <w:i w:val="0"/>
                <w:color w:val="FFFFFF"/>
                <w:sz w:val="19"/>
              </w:rPr>
              <w:t>Diapositivas</w:t>
            </w:r>
          </w:p>
        </w:tc>
        <w:tc>
          <w:tcPr>
            <w:tcW w:type="dxa" w:w="1361"/>
            <w:shd w:val="clear" w:color="auto" w:fill="1F3864"/>
          </w:tcPr>
          <w:p>
            <w:pPr>
              <w:keepNext/>
              <w:spacing w:before="40" w:after="40"/>
              <w:jc w:val="center"/>
            </w:pPr>
            <w:r/>
            <w:r>
              <w:rPr>
                <w:rFonts w:ascii="Calibri" w:hAnsi="Calibri"/>
                <w:b/>
                <w:i w:val="0"/>
                <w:color w:val="FFFFFF"/>
                <w:sz w:val="19"/>
              </w:rPr>
              <w:t>Tiempo</w:t>
            </w:r>
          </w:p>
        </w:tc>
      </w:tr>
      <w:tr>
        <w:tc>
          <w:tcPr>
            <w:tcW w:type="dxa" w:w="3175"/>
          </w:tcPr>
          <w:p>
            <w:pPr>
              <w:keepNext/>
              <w:spacing w:before="40" w:after="40"/>
            </w:pPr>
            <w:r/>
            <w:r>
              <w:rPr>
                <w:rFonts w:ascii="Calibri" w:hAnsi="Calibri"/>
                <w:b w:val="0"/>
                <w:i w:val="0"/>
                <w:color w:val="000000"/>
                <w:sz w:val="19"/>
              </w:rPr>
              <w:t>Apertura</w:t>
            </w:r>
          </w:p>
        </w:tc>
        <w:tc>
          <w:tcPr>
            <w:tcW w:type="dxa" w:w="1928"/>
          </w:tcPr>
          <w:p>
            <w:pPr>
              <w:keepNext/>
              <w:spacing w:before="40" w:after="40"/>
            </w:pPr>
            <w:r/>
            <w:r>
              <w:rPr>
                <w:rFonts w:ascii="Calibri" w:hAnsi="Calibri"/>
                <w:b w:val="0"/>
                <w:i w:val="0"/>
                <w:color w:val="000000"/>
                <w:sz w:val="19"/>
              </w:rPr>
              <w:t>Jose</w:t>
            </w:r>
          </w:p>
        </w:tc>
        <w:tc>
          <w:tcPr>
            <w:tcW w:type="dxa" w:w="1701"/>
          </w:tcPr>
          <w:p>
            <w:pPr>
              <w:keepNext/>
              <w:spacing w:before="40" w:after="40"/>
              <w:jc w:val="center"/>
            </w:pPr>
            <w:r/>
            <w:r>
              <w:rPr>
                <w:rFonts w:ascii="Calibri" w:hAnsi="Calibri"/>
                <w:b w:val="0"/>
                <w:i w:val="0"/>
                <w:color w:val="000000"/>
                <w:sz w:val="19"/>
              </w:rPr>
              <w:t>1–5</w:t>
            </w:r>
          </w:p>
        </w:tc>
        <w:tc>
          <w:tcPr>
            <w:tcW w:type="dxa" w:w="1361"/>
          </w:tcPr>
          <w:p>
            <w:pPr>
              <w:keepNext/>
              <w:spacing w:before="40" w:after="40"/>
              <w:jc w:val="center"/>
            </w:pPr>
            <w:r/>
            <w:r>
              <w:rPr>
                <w:rFonts w:ascii="Calibri" w:hAnsi="Calibri"/>
                <w:b w:val="0"/>
                <w:i w:val="0"/>
                <w:color w:val="000000"/>
                <w:sz w:val="19"/>
              </w:rPr>
              <w:t>1:30</w:t>
            </w:r>
          </w:p>
        </w:tc>
      </w:tr>
      <w:tr>
        <w:tc>
          <w:tcPr>
            <w:tcW w:type="dxa" w:w="3175"/>
            <w:shd w:val="clear" w:color="auto" w:fill="FAFAFA"/>
          </w:tcPr>
          <w:p>
            <w:pPr>
              <w:keepNext/>
              <w:spacing w:before="40" w:after="40"/>
            </w:pPr>
            <w:r/>
            <w:r>
              <w:rPr>
                <w:rFonts w:ascii="Calibri" w:hAnsi="Calibri"/>
                <w:b w:val="0"/>
                <w:i w:val="0"/>
                <w:color w:val="000000"/>
                <w:sz w:val="19"/>
              </w:rPr>
              <w:t>Taller 1 · Boosting</w:t>
            </w:r>
          </w:p>
        </w:tc>
        <w:tc>
          <w:tcPr>
            <w:tcW w:type="dxa" w:w="1928"/>
            <w:shd w:val="clear" w:color="auto" w:fill="FAFAFA"/>
          </w:tcPr>
          <w:p>
            <w:pPr>
              <w:keepNext/>
              <w:spacing w:before="40" w:after="40"/>
            </w:pPr>
            <w:r/>
            <w:r>
              <w:rPr>
                <w:rFonts w:ascii="Calibri" w:hAnsi="Calibri"/>
                <w:b w:val="0"/>
                <w:i w:val="0"/>
                <w:color w:val="000000"/>
                <w:sz w:val="19"/>
              </w:rPr>
              <w:t>Jose</w:t>
            </w:r>
          </w:p>
        </w:tc>
        <w:tc>
          <w:tcPr>
            <w:tcW w:type="dxa" w:w="1701"/>
            <w:shd w:val="clear" w:color="auto" w:fill="FAFAFA"/>
          </w:tcPr>
          <w:p>
            <w:pPr>
              <w:keepNext/>
              <w:spacing w:before="40" w:after="40"/>
              <w:jc w:val="center"/>
            </w:pPr>
            <w:r/>
            <w:r>
              <w:rPr>
                <w:rFonts w:ascii="Calibri" w:hAnsi="Calibri"/>
                <w:b w:val="0"/>
                <w:i w:val="0"/>
                <w:color w:val="000000"/>
                <w:sz w:val="19"/>
              </w:rPr>
              <w:t>6–20</w:t>
            </w:r>
          </w:p>
        </w:tc>
        <w:tc>
          <w:tcPr>
            <w:tcW w:type="dxa" w:w="1361"/>
            <w:shd w:val="clear" w:color="auto" w:fill="FAFAFA"/>
          </w:tcPr>
          <w:p>
            <w:pPr>
              <w:keepNext/>
              <w:spacing w:before="40" w:after="40"/>
              <w:jc w:val="center"/>
            </w:pPr>
            <w:r/>
            <w:r>
              <w:rPr>
                <w:rFonts w:ascii="Calibri" w:hAnsi="Calibri"/>
                <w:b w:val="0"/>
                <w:i w:val="0"/>
                <w:color w:val="000000"/>
                <w:sz w:val="19"/>
              </w:rPr>
              <w:t>3:45</w:t>
            </w:r>
          </w:p>
        </w:tc>
      </w:tr>
      <w:tr>
        <w:tc>
          <w:tcPr>
            <w:tcW w:type="dxa" w:w="3175"/>
          </w:tcPr>
          <w:p>
            <w:pPr>
              <w:keepNext/>
              <w:spacing w:before="40" w:after="40"/>
            </w:pPr>
            <w:r/>
            <w:r>
              <w:rPr>
                <w:rFonts w:ascii="Calibri" w:hAnsi="Calibri"/>
                <w:b w:val="0"/>
                <w:i w:val="0"/>
                <w:color w:val="000000"/>
                <w:sz w:val="19"/>
              </w:rPr>
              <w:t>Taller 2 · K-Means</w:t>
            </w:r>
          </w:p>
        </w:tc>
        <w:tc>
          <w:tcPr>
            <w:tcW w:type="dxa" w:w="1928"/>
          </w:tcPr>
          <w:p>
            <w:pPr>
              <w:keepNext/>
              <w:spacing w:before="40" w:after="40"/>
            </w:pPr>
            <w:r/>
            <w:r>
              <w:rPr>
                <w:rFonts w:ascii="Calibri" w:hAnsi="Calibri"/>
                <w:b w:val="0"/>
                <w:i w:val="0"/>
                <w:color w:val="000000"/>
                <w:sz w:val="19"/>
              </w:rPr>
              <w:t>Sofía</w:t>
            </w:r>
          </w:p>
        </w:tc>
        <w:tc>
          <w:tcPr>
            <w:tcW w:type="dxa" w:w="1701"/>
          </w:tcPr>
          <w:p>
            <w:pPr>
              <w:keepNext/>
              <w:spacing w:before="40" w:after="40"/>
              <w:jc w:val="center"/>
            </w:pPr>
            <w:r/>
            <w:r>
              <w:rPr>
                <w:rFonts w:ascii="Calibri" w:hAnsi="Calibri"/>
                <w:b w:val="0"/>
                <w:i w:val="0"/>
                <w:color w:val="000000"/>
                <w:sz w:val="19"/>
              </w:rPr>
              <w:t>21–33</w:t>
            </w:r>
          </w:p>
        </w:tc>
        <w:tc>
          <w:tcPr>
            <w:tcW w:type="dxa" w:w="1361"/>
          </w:tcPr>
          <w:p>
            <w:pPr>
              <w:keepNext/>
              <w:spacing w:before="40" w:after="40"/>
              <w:jc w:val="center"/>
            </w:pPr>
            <w:r/>
            <w:r>
              <w:rPr>
                <w:rFonts w:ascii="Calibri" w:hAnsi="Calibri"/>
                <w:b w:val="0"/>
                <w:i w:val="0"/>
                <w:color w:val="000000"/>
                <w:sz w:val="19"/>
              </w:rPr>
              <w:t>3:45</w:t>
            </w:r>
          </w:p>
        </w:tc>
      </w:tr>
      <w:tr>
        <w:tc>
          <w:tcPr>
            <w:tcW w:type="dxa" w:w="3175"/>
            <w:shd w:val="clear" w:color="auto" w:fill="FAFAFA"/>
          </w:tcPr>
          <w:p>
            <w:pPr>
              <w:keepNext/>
              <w:spacing w:before="40" w:after="40"/>
            </w:pPr>
            <w:r/>
            <w:r>
              <w:rPr>
                <w:rFonts w:ascii="Calibri" w:hAnsi="Calibri"/>
                <w:b w:val="0"/>
                <w:i w:val="0"/>
                <w:color w:val="000000"/>
                <w:sz w:val="19"/>
              </w:rPr>
              <w:t>Taller 3 · Clustering jerárquico</w:t>
            </w:r>
          </w:p>
        </w:tc>
        <w:tc>
          <w:tcPr>
            <w:tcW w:type="dxa" w:w="1928"/>
            <w:shd w:val="clear" w:color="auto" w:fill="FAFAFA"/>
          </w:tcPr>
          <w:p>
            <w:pPr>
              <w:keepNext/>
              <w:spacing w:before="40" w:after="40"/>
            </w:pPr>
            <w:r/>
            <w:r>
              <w:rPr>
                <w:rFonts w:ascii="Calibri" w:hAnsi="Calibri"/>
                <w:b w:val="0"/>
                <w:i w:val="0"/>
                <w:color w:val="000000"/>
                <w:sz w:val="19"/>
              </w:rPr>
              <w:t>Andrés</w:t>
            </w:r>
          </w:p>
        </w:tc>
        <w:tc>
          <w:tcPr>
            <w:tcW w:type="dxa" w:w="1701"/>
            <w:shd w:val="clear" w:color="auto" w:fill="FAFAFA"/>
          </w:tcPr>
          <w:p>
            <w:pPr>
              <w:keepNext/>
              <w:spacing w:before="40" w:after="40"/>
              <w:jc w:val="center"/>
            </w:pPr>
            <w:r/>
            <w:r>
              <w:rPr>
                <w:rFonts w:ascii="Calibri" w:hAnsi="Calibri"/>
                <w:b w:val="0"/>
                <w:i w:val="0"/>
                <w:color w:val="000000"/>
                <w:sz w:val="19"/>
              </w:rPr>
              <w:t>34–47</w:t>
            </w:r>
          </w:p>
        </w:tc>
        <w:tc>
          <w:tcPr>
            <w:tcW w:type="dxa" w:w="1361"/>
            <w:shd w:val="clear" w:color="auto" w:fill="FAFAFA"/>
          </w:tcPr>
          <w:p>
            <w:pPr>
              <w:keepNext/>
              <w:spacing w:before="40" w:after="40"/>
              <w:jc w:val="center"/>
            </w:pPr>
            <w:r/>
            <w:r>
              <w:rPr>
                <w:rFonts w:ascii="Calibri" w:hAnsi="Calibri"/>
                <w:b w:val="0"/>
                <w:i w:val="0"/>
                <w:color w:val="000000"/>
                <w:sz w:val="19"/>
              </w:rPr>
              <w:t>3:45</w:t>
            </w:r>
          </w:p>
        </w:tc>
      </w:tr>
      <w:tr>
        <w:tc>
          <w:tcPr>
            <w:tcW w:type="dxa" w:w="3175"/>
          </w:tcPr>
          <w:p>
            <w:pPr>
              <w:keepNext/>
              <w:spacing w:before="40" w:after="40"/>
            </w:pPr>
            <w:r/>
            <w:r>
              <w:rPr>
                <w:rFonts w:ascii="Calibri" w:hAnsi="Calibri"/>
                <w:b w:val="0"/>
                <w:i w:val="0"/>
                <w:color w:val="000000"/>
                <w:sz w:val="19"/>
              </w:rPr>
              <w:t>Taller 4 · DBSCAN</w:t>
            </w:r>
          </w:p>
        </w:tc>
        <w:tc>
          <w:tcPr>
            <w:tcW w:type="dxa" w:w="1928"/>
          </w:tcPr>
          <w:p>
            <w:pPr>
              <w:keepNext/>
              <w:spacing w:before="40" w:after="40"/>
            </w:pPr>
            <w:r/>
            <w:r>
              <w:rPr>
                <w:rFonts w:ascii="Calibri" w:hAnsi="Calibri"/>
                <w:b w:val="0"/>
                <w:i w:val="0"/>
                <w:color w:val="000000"/>
                <w:sz w:val="19"/>
              </w:rPr>
              <w:t>Alex</w:t>
            </w:r>
          </w:p>
        </w:tc>
        <w:tc>
          <w:tcPr>
            <w:tcW w:type="dxa" w:w="1701"/>
          </w:tcPr>
          <w:p>
            <w:pPr>
              <w:keepNext/>
              <w:spacing w:before="40" w:after="40"/>
              <w:jc w:val="center"/>
            </w:pPr>
            <w:r/>
            <w:r>
              <w:rPr>
                <w:rFonts w:ascii="Calibri" w:hAnsi="Calibri"/>
                <w:b w:val="0"/>
                <w:i w:val="0"/>
                <w:color w:val="000000"/>
                <w:sz w:val="19"/>
              </w:rPr>
              <w:t>48–61</w:t>
            </w:r>
          </w:p>
        </w:tc>
        <w:tc>
          <w:tcPr>
            <w:tcW w:type="dxa" w:w="1361"/>
          </w:tcPr>
          <w:p>
            <w:pPr>
              <w:keepNext/>
              <w:spacing w:before="40" w:after="40"/>
              <w:jc w:val="center"/>
            </w:pPr>
            <w:r/>
            <w:r>
              <w:rPr>
                <w:rFonts w:ascii="Calibri" w:hAnsi="Calibri"/>
                <w:b w:val="0"/>
                <w:i w:val="0"/>
                <w:color w:val="000000"/>
                <w:sz w:val="19"/>
              </w:rPr>
              <w:t>3:45</w:t>
            </w:r>
          </w:p>
        </w:tc>
      </w:tr>
      <w:tr>
        <w:tc>
          <w:tcPr>
            <w:tcW w:type="dxa" w:w="3175"/>
            <w:shd w:val="clear" w:color="auto" w:fill="FAFAFA"/>
          </w:tcPr>
          <w:p>
            <w:pPr>
              <w:keepNext/>
              <w:spacing w:before="40" w:after="40"/>
            </w:pPr>
            <w:r/>
            <w:r>
              <w:rPr>
                <w:rFonts w:ascii="Calibri" w:hAnsi="Calibri"/>
                <w:b w:val="0"/>
                <w:i w:val="0"/>
                <w:color w:val="000000"/>
                <w:sz w:val="19"/>
              </w:rPr>
              <w:t>Cierre</w:t>
            </w:r>
          </w:p>
        </w:tc>
        <w:tc>
          <w:tcPr>
            <w:tcW w:type="dxa" w:w="1928"/>
            <w:shd w:val="clear" w:color="auto" w:fill="FAFAFA"/>
          </w:tcPr>
          <w:p>
            <w:pPr>
              <w:keepNext/>
              <w:spacing w:before="40" w:after="40"/>
            </w:pPr>
            <w:r/>
            <w:r>
              <w:rPr>
                <w:rFonts w:ascii="Calibri" w:hAnsi="Calibri"/>
                <w:b w:val="0"/>
                <w:i w:val="0"/>
                <w:color w:val="000000"/>
                <w:sz w:val="19"/>
              </w:rPr>
              <w:t>los cuatro</w:t>
            </w:r>
          </w:p>
        </w:tc>
        <w:tc>
          <w:tcPr>
            <w:tcW w:type="dxa" w:w="1701"/>
            <w:shd w:val="clear" w:color="auto" w:fill="FAFAFA"/>
          </w:tcPr>
          <w:p>
            <w:pPr>
              <w:keepNext/>
              <w:spacing w:before="40" w:after="40"/>
              <w:jc w:val="center"/>
            </w:pPr>
            <w:r/>
            <w:r>
              <w:rPr>
                <w:rFonts w:ascii="Calibri" w:hAnsi="Calibri"/>
                <w:b w:val="0"/>
                <w:i w:val="0"/>
                <w:color w:val="000000"/>
                <w:sz w:val="19"/>
              </w:rPr>
              <w:t>62–65</w:t>
            </w:r>
          </w:p>
        </w:tc>
        <w:tc>
          <w:tcPr>
            <w:tcW w:type="dxa" w:w="1361"/>
            <w:shd w:val="clear" w:color="auto" w:fill="FAFAFA"/>
          </w:tcPr>
          <w:p>
            <w:pPr>
              <w:keepNext/>
              <w:spacing w:before="40" w:after="40"/>
              <w:jc w:val="center"/>
            </w:pPr>
            <w:r/>
            <w:r>
              <w:rPr>
                <w:rFonts w:ascii="Calibri" w:hAnsi="Calibri"/>
                <w:b w:val="0"/>
                <w:i w:val="0"/>
                <w:color w:val="000000"/>
                <w:sz w:val="19"/>
              </w:rPr>
              <w:t>1:00</w:t>
            </w:r>
          </w:p>
        </w:tc>
      </w:tr>
      <w:tr>
        <w:tc>
          <w:tcPr>
            <w:tcW w:type="dxa" w:w="3175"/>
          </w:tcPr>
          <w:p>
            <w:pPr>
              <w:keepNext w:val="0"/>
              <w:spacing w:before="40" w:after="40"/>
            </w:pPr>
            <w:r/>
            <w:r>
              <w:rPr>
                <w:rFonts w:ascii="Calibri" w:hAnsi="Calibri"/>
                <w:b/>
                <w:i w:val="0"/>
                <w:color w:val="000000"/>
                <w:sz w:val="19"/>
              </w:rPr>
              <w:t>Total</w:t>
            </w:r>
          </w:p>
        </w:tc>
        <w:tc>
          <w:tcPr>
            <w:tcW w:type="dxa" w:w="1928"/>
          </w:tcPr>
          <w:p>
            <w:pPr>
              <w:keepNext w:val="0"/>
              <w:spacing w:before="40" w:after="40"/>
            </w:pPr>
            <w:r/>
          </w:p>
        </w:tc>
        <w:tc>
          <w:tcPr>
            <w:tcW w:type="dxa" w:w="1701"/>
          </w:tcPr>
          <w:p>
            <w:pPr>
              <w:keepNext w:val="0"/>
              <w:spacing w:before="40" w:after="40"/>
              <w:jc w:val="center"/>
            </w:pPr>
            <w:r/>
            <w:r>
              <w:rPr>
                <w:rFonts w:ascii="Calibri" w:hAnsi="Calibri"/>
                <w:b w:val="0"/>
                <w:i w:val="0"/>
                <w:color w:val="000000"/>
                <w:sz w:val="19"/>
              </w:rPr>
              <w:t>65</w:t>
            </w:r>
          </w:p>
        </w:tc>
        <w:tc>
          <w:tcPr>
            <w:tcW w:type="dxa" w:w="1361"/>
          </w:tcPr>
          <w:p>
            <w:pPr>
              <w:keepNext w:val="0"/>
              <w:spacing w:before="40" w:after="40"/>
              <w:jc w:val="center"/>
            </w:pPr>
            <w:r/>
            <w:r>
              <w:rPr>
                <w:rFonts w:ascii="Calibri" w:hAnsi="Calibri"/>
                <w:b/>
                <w:i w:val="0"/>
                <w:color w:val="000000"/>
                <w:sz w:val="19"/>
              </w:rPr>
              <w:t>≈ 17:30</w:t>
            </w:r>
          </w:p>
        </w:tc>
      </w:tr>
    </w:tbl>
    <w:p>
      <w:pPr>
        <w:spacing w:after="40"/>
      </w:pPr>
    </w:p>
    <w:p>
      <w:pPr>
        <w:spacing w:before="0" w:after="120"/>
        <w:jc w:val="both"/>
      </w:pPr>
      <w:r>
        <w:rPr>
          <w:rFonts w:ascii="Calibri" w:hAnsi="Calibri"/>
          <w:b/>
          <w:i w:val="0"/>
          <w:color w:val="000000"/>
          <w:sz w:val="19"/>
        </w:rPr>
        <w:t>Cómo usar este guion.</w:t>
      </w:r>
      <w:r>
        <w:rPr>
          <w:rFonts w:ascii="Calibri" w:hAnsi="Calibri"/>
          <w:b w:val="0"/>
          <w:i w:val="0"/>
          <w:color w:val="000000"/>
          <w:sz w:val="19"/>
        </w:rPr>
        <w:t xml:space="preserve"> Es la versión corta para hablar. La versión larga de cada diapositiva está en las </w:t>
      </w:r>
      <w:r>
        <w:rPr>
          <w:rFonts w:ascii="Calibri" w:hAnsi="Calibri"/>
          <w:b/>
          <w:i w:val="0"/>
          <w:color w:val="000000"/>
          <w:sz w:val="19"/>
        </w:rPr>
        <w:t>notas del orador</w:t>
      </w:r>
      <w:r>
        <w:rPr>
          <w:rFonts w:ascii="Calibri" w:hAnsi="Calibri"/>
          <w:b w:val="0"/>
          <w:i w:val="0"/>
          <w:color w:val="000000"/>
          <w:sz w:val="19"/>
        </w:rPr>
        <w:t xml:space="preserve"> de la presentación (Vista → Notas). No hay que leerlo palabra por palabra: sirve para saber qué decir en cada diapositiva y cuánto tiempo hay. Las cifras en negrita son las que deben decirse sin redondear.</w:t>
      </w:r>
    </w:p>
    <w:tbl>
      <w:tblPr>
        <w:tblStyle w:val="TableGrid"/>
        <w:tblW w:type="auto" w:w="0"/>
        <w:tblLook w:firstColumn="1" w:firstRow="1" w:lastColumn="0" w:lastRow="0" w:noHBand="0" w:noVBand="1" w:val="04A0"/>
      </w:tblPr>
      <w:tblGrid>
        <w:gridCol w:w="9746"/>
      </w:tblGrid>
      <w:tr>
        <w:tc>
          <w:tcPr>
            <w:tcW w:type="dxa" w:w="9746"/>
            <w:shd w:val="clear" w:color="auto" w:fill="FDF2E3"/>
          </w:tcPr>
          <w:p>
            <w:pPr>
              <w:spacing w:before="80" w:after="40"/>
            </w:pPr>
            <w:r/>
            <w:r>
              <w:rPr>
                <w:rFonts w:ascii="Calibri" w:hAnsi="Calibri"/>
                <w:b/>
                <w:color w:val="1F3864"/>
                <w:sz w:val="19"/>
              </w:rPr>
              <w:t xml:space="preserve">Si hay que recortar a unos 13 minutos.  </w:t>
            </w:r>
            <w:r>
              <w:rPr>
                <w:rFonts w:ascii="Calibri" w:hAnsi="Calibri"/>
                <w:b w:val="0"/>
                <w:i w:val="0"/>
                <w:color w:val="000000"/>
                <w:sz w:val="19"/>
              </w:rPr>
              <w:t>Pasen sin comentar las diapositivas de método y de tablas completas: 8–9, 11, 25, 27, 30, 41–42, 53 y 57. El hilo de cada taller se mantiene con la pregunta, el resultado principal y la diapositiva «qué cambia en Shiro».</w:t>
            </w:r>
          </w:p>
        </w:tc>
      </w:tr>
    </w:tbl>
    <w:p>
      <w:pPr>
        <w:spacing w:after="40"/>
      </w:pPr>
    </w:p>
    <w:p>
      <w:pPr>
        <w:keepNext/>
        <w:spacing w:before="320" w:after="140"/>
        <w:pBdr>
          <w:bottom w:val="single" w:sz="8" w:space="3" w:color="1F3864"/>
        </w:pBdr>
      </w:pPr>
      <w:r>
        <w:rPr>
          <w:rFonts w:ascii="Calibri" w:hAnsi="Calibri"/>
          <w:b/>
          <w:color w:val="1F3864"/>
          <w:sz w:val="28"/>
        </w:rPr>
        <w:t>Antes de grabar</w:t>
      </w:r>
    </w:p>
    <w:p>
      <w:pPr>
        <w:pStyle w:val="ListBullet"/>
        <w:spacing w:after="60"/>
        <w:ind w:left="340"/>
      </w:pPr>
      <w:r>
        <w:rPr>
          <w:rFonts w:ascii="Calibri" w:hAnsi="Calibri"/>
          <w:b/>
          <w:i w:val="0"/>
          <w:color w:val="000000"/>
          <w:sz w:val="19"/>
        </w:rPr>
        <w:t>Una sola persona comparte la pantalla</w:t>
      </w:r>
      <w:r>
        <w:rPr>
          <w:rFonts w:ascii="Calibri" w:hAnsi="Calibri"/>
          <w:b w:val="0"/>
          <w:i w:val="0"/>
          <w:color w:val="000000"/>
          <w:sz w:val="19"/>
        </w:rPr>
        <w:t xml:space="preserve"> y pasa las diapositivas para todos, en modo presentación. Así se evitan cortes al cambiar de expositor.</w:t>
      </w:r>
    </w:p>
    <w:p>
      <w:pPr>
        <w:pStyle w:val="ListBullet"/>
        <w:spacing w:after="60"/>
        <w:ind w:left="340"/>
      </w:pPr>
      <w:r>
        <w:rPr>
          <w:rFonts w:ascii="Calibri" w:hAnsi="Calibri"/>
          <w:b/>
          <w:i w:val="0"/>
          <w:color w:val="000000"/>
          <w:sz w:val="19"/>
        </w:rPr>
        <w:t>Ensayen una vez con cronómetro</w:t>
      </w:r>
      <w:r>
        <w:rPr>
          <w:rFonts w:ascii="Calibri" w:hAnsi="Calibri"/>
          <w:b w:val="0"/>
          <w:i w:val="0"/>
          <w:color w:val="000000"/>
          <w:sz w:val="19"/>
        </w:rPr>
        <w:t xml:space="preserve"> cada bloque. Si alguno pasa de 4 minutos y medio, recorte con la lista de arriba.</w:t>
      </w:r>
    </w:p>
    <w:p>
      <w:pPr>
        <w:pStyle w:val="ListBullet"/>
        <w:spacing w:after="60"/>
        <w:ind w:left="340"/>
      </w:pPr>
      <w:r>
        <w:rPr>
          <w:rFonts w:ascii="Calibri" w:hAnsi="Calibri"/>
          <w:b/>
          <w:i w:val="0"/>
          <w:color w:val="000000"/>
          <w:sz w:val="19"/>
        </w:rPr>
        <w:t>Frase de pase:</w:t>
      </w:r>
      <w:r>
        <w:rPr>
          <w:rFonts w:ascii="Calibri" w:hAnsi="Calibri"/>
          <w:b w:val="0"/>
          <w:i w:val="0"/>
          <w:color w:val="000000"/>
          <w:sz w:val="19"/>
        </w:rPr>
        <w:t xml:space="preserve"> cada expositor termina nombrando al siguiente («…Sofía sigue con K-Means»). Eso hace fluido el video sin edición.</w:t>
      </w:r>
    </w:p>
    <w:p>
      <w:pPr>
        <w:pStyle w:val="ListBullet"/>
        <w:spacing w:after="60"/>
        <w:ind w:left="340"/>
      </w:pPr>
      <w:r>
        <w:rPr>
          <w:rFonts w:ascii="Calibri" w:hAnsi="Calibri"/>
          <w:b/>
          <w:i w:val="0"/>
          <w:color w:val="000000"/>
          <w:sz w:val="19"/>
        </w:rPr>
        <w:t>Cámara opcional</w:t>
      </w:r>
      <w:r>
        <w:rPr>
          <w:rFonts w:ascii="Calibri" w:hAnsi="Calibri"/>
          <w:b w:val="0"/>
          <w:i w:val="0"/>
          <w:color w:val="000000"/>
          <w:sz w:val="19"/>
        </w:rPr>
        <w:t>, pero si se usa, que se vea a quien habla. La diapositiva 65 se puede grabar con los cuatro en cámara.</w:t>
      </w:r>
    </w:p>
    <w:p>
      <w:pPr>
        <w:pStyle w:val="ListBullet"/>
        <w:spacing w:after="60"/>
        <w:ind w:left="340"/>
      </w:pPr>
      <w:r>
        <w:rPr>
          <w:rFonts w:ascii="Calibri" w:hAnsi="Calibri"/>
          <w:b/>
          <w:i w:val="0"/>
          <w:color w:val="000000"/>
          <w:sz w:val="19"/>
        </w:rPr>
        <w:t>Graben en un lugar sin eco</w:t>
      </w:r>
      <w:r>
        <w:rPr>
          <w:rFonts w:ascii="Calibri" w:hAnsi="Calibri"/>
          <w:b w:val="0"/>
          <w:i w:val="0"/>
          <w:color w:val="000000"/>
          <w:sz w:val="19"/>
        </w:rPr>
        <w:t xml:space="preserve"> y con el micrófono cerca. Revisen el audio con una prueba de 20 segundos.</w:t>
      </w:r>
    </w:p>
    <w:p>
      <w:pPr>
        <w:pStyle w:val="ListBullet"/>
        <w:spacing w:after="60"/>
        <w:ind w:left="340"/>
      </w:pPr>
      <w:r>
        <w:rPr>
          <w:rFonts w:ascii="Calibri" w:hAnsi="Calibri"/>
          <w:b/>
          <w:i w:val="0"/>
          <w:color w:val="000000"/>
          <w:sz w:val="19"/>
        </w:rPr>
        <w:t>No improvisen cifras:</w:t>
      </w:r>
      <w:r>
        <w:rPr>
          <w:rFonts w:ascii="Calibri" w:hAnsi="Calibri"/>
          <w:b w:val="0"/>
          <w:i w:val="0"/>
          <w:color w:val="000000"/>
          <w:sz w:val="19"/>
        </w:rPr>
        <w:t xml:space="preserve"> si hay duda, la cifra exacta está en la diapositiva y en sus notas.</w:t>
      </w:r>
    </w:p>
    <w:p>
      <w:pPr>
        <w:keepNext/>
        <w:spacing w:before="320" w:after="140"/>
        <w:pBdr>
          <w:bottom w:val="single" w:sz="8" w:space="3" w:color="1F3864"/>
        </w:pBdr>
      </w:pPr>
      <w:r>
        <w:rPr>
          <w:rFonts w:ascii="Calibri" w:hAnsi="Calibri"/>
          <w:b/>
          <w:color w:val="1F3864"/>
          <w:sz w:val="28"/>
        </w:rPr>
        <w:t>El guion</w:t>
      </w:r>
    </w:p>
    <w:p>
      <w:pPr>
        <w:keepNext/>
        <w:spacing w:before="220" w:after="80"/>
      </w:pPr>
      <w:r>
        <w:rPr>
          <w:rFonts w:ascii="Calibri" w:hAnsi="Calibri"/>
          <w:b/>
          <w:i w:val="0"/>
          <w:color w:val="1F3864"/>
          <w:sz w:val="23"/>
        </w:rPr>
        <w:t>Apertura — Jose · diapositivas 1–5 · 1:30 min</w:t>
      </w:r>
    </w:p>
    <w:tbl>
      <w:tblPr>
        <w:tblStyle w:val="TableGrid"/>
        <w:tblW w:type="auto" w:w="0"/>
        <w:jc w:val="center"/>
        <w:tblLook w:firstColumn="1" w:firstRow="1" w:lastColumn="0" w:lastRow="0" w:noHBand="0" w:noVBand="1" w:val="04A0"/>
      </w:tblPr>
      <w:tblGrid>
        <w:gridCol w:w="4873"/>
        <w:gridCol w:w="4873"/>
      </w:tblGrid>
      <w:tr>
        <w:tc>
          <w:tcPr>
            <w:tcW w:type="dxa" w:w="1134"/>
            <w:shd w:val="clear" w:color="auto" w:fill="1F3864"/>
          </w:tcPr>
          <w:p>
            <w:pPr>
              <w:keepNext w:val="0"/>
              <w:spacing w:before="40" w:after="40"/>
              <w:jc w:val="center"/>
            </w:pPr>
            <w:r/>
            <w:r>
              <w:rPr>
                <w:rFonts w:ascii="Calibri" w:hAnsi="Calibri"/>
                <w:b/>
                <w:i w:val="0"/>
                <w:color w:val="FFFFFF"/>
                <w:sz w:val="19"/>
              </w:rPr>
              <w:t>Diap.</w:t>
            </w:r>
          </w:p>
        </w:tc>
        <w:tc>
          <w:tcPr>
            <w:tcW w:type="dxa" w:w="8164"/>
            <w:shd w:val="clear" w:color="auto" w:fill="1F3864"/>
          </w:tcPr>
          <w:p>
            <w:pPr>
              <w:keepNext w:val="0"/>
              <w:spacing w:before="40" w:after="40"/>
            </w:pPr>
            <w:r/>
            <w:r>
              <w:rPr>
                <w:rFonts w:ascii="Calibri" w:hAnsi="Calibri"/>
                <w:b/>
                <w:i w:val="0"/>
                <w:color w:val="FFFFFF"/>
                <w:sz w:val="19"/>
              </w:rPr>
              <w:t>Qué decir</w:t>
            </w:r>
          </w:p>
        </w:tc>
      </w:tr>
      <w:tr>
        <w:tc>
          <w:tcPr>
            <w:tcW w:type="dxa" w:w="1134"/>
          </w:tcPr>
          <w:p>
            <w:pPr>
              <w:keepNext w:val="0"/>
              <w:spacing w:before="40" w:after="40"/>
              <w:jc w:val="center"/>
            </w:pPr>
            <w:r/>
            <w:r>
              <w:rPr>
                <w:rFonts w:ascii="Calibri" w:hAnsi="Calibri"/>
                <w:b w:val="0"/>
                <w:i w:val="0"/>
                <w:color w:val="000000"/>
                <w:sz w:val="19"/>
              </w:rPr>
              <w:t>1</w:t>
            </w:r>
          </w:p>
        </w:tc>
        <w:tc>
          <w:tcPr>
            <w:tcW w:type="dxa" w:w="8164"/>
          </w:tcPr>
          <w:p>
            <w:pPr>
              <w:keepNext w:val="0"/>
              <w:spacing w:before="40" w:after="40"/>
            </w:pPr>
            <w:r/>
            <w:r>
              <w:rPr>
                <w:rFonts w:ascii="Calibri" w:hAnsi="Calibri"/>
                <w:b w:val="0"/>
                <w:i w:val="0"/>
                <w:color w:val="000000"/>
                <w:sz w:val="19"/>
              </w:rPr>
              <w:t>Hola, somos el grupo Shiro: Jose Leonardo Diazgranados, Sofía Londoño, Andrés Felipe Céspedes y Alex Duran. En este video presentamos los cuatro talleres del segundo corte: boosting, K-Means, clustering jerárquico y DBSCAN.</w:t>
            </w:r>
          </w:p>
        </w:tc>
      </w:tr>
      <w:tr>
        <w:tc>
          <w:tcPr>
            <w:tcW w:type="dxa" w:w="1134"/>
            <w:shd w:val="clear" w:color="auto" w:fill="FAFAFA"/>
          </w:tcPr>
          <w:p>
            <w:pPr>
              <w:keepNext w:val="0"/>
              <w:spacing w:before="40" w:after="40"/>
              <w:jc w:val="center"/>
            </w:pPr>
            <w:r/>
            <w:r>
              <w:rPr>
                <w:rFonts w:ascii="Calibri" w:hAnsi="Calibri"/>
                <w:b w:val="0"/>
                <w:i w:val="0"/>
                <w:color w:val="000000"/>
                <w:sz w:val="19"/>
              </w:rPr>
              <w:t>2</w:t>
            </w:r>
          </w:p>
        </w:tc>
        <w:tc>
          <w:tcPr>
            <w:tcW w:type="dxa" w:w="8164"/>
            <w:shd w:val="clear" w:color="auto" w:fill="FAFAFA"/>
          </w:tcPr>
          <w:p>
            <w:pPr>
              <w:keepNext w:val="0"/>
              <w:spacing w:before="40" w:after="40"/>
            </w:pPr>
            <w:r/>
            <w:r>
              <w:rPr>
                <w:rFonts w:ascii="Calibri" w:hAnsi="Calibri"/>
                <w:b w:val="0"/>
                <w:i w:val="0"/>
                <w:color w:val="000000"/>
                <w:sz w:val="19"/>
              </w:rPr>
              <w:t xml:space="preserve">Todo el corte gira en torno a Shiro Twin, nuestro gemelo digital de una casa. Tiene tres piezas que se aprenden de los datos: un </w:t>
            </w:r>
            <w:r>
              <w:rPr>
                <w:rFonts w:ascii="Calibri" w:hAnsi="Calibri"/>
                <w:b/>
                <w:i w:val="0"/>
                <w:color w:val="000000"/>
                <w:sz w:val="19"/>
              </w:rPr>
              <w:t>simulador</w:t>
            </w:r>
            <w:r>
              <w:rPr>
                <w:rFonts w:ascii="Calibri" w:hAnsi="Calibri"/>
                <w:b w:val="0"/>
                <w:i w:val="0"/>
                <w:color w:val="000000"/>
                <w:sz w:val="19"/>
              </w:rPr>
              <w:t xml:space="preserve"> que predice el consumo de los próximos diez minutos, un </w:t>
            </w:r>
            <w:r>
              <w:rPr>
                <w:rFonts w:ascii="Calibri" w:hAnsi="Calibri"/>
                <w:b/>
                <w:i w:val="0"/>
                <w:color w:val="000000"/>
                <w:sz w:val="19"/>
              </w:rPr>
              <w:t>agente</w:t>
            </w:r>
            <w:r>
              <w:rPr>
                <w:rFonts w:ascii="Calibri" w:hAnsi="Calibri"/>
                <w:b w:val="0"/>
                <w:i w:val="0"/>
                <w:color w:val="000000"/>
                <w:sz w:val="19"/>
              </w:rPr>
              <w:t xml:space="preserve"> que decide sobre un estado y </w:t>
            </w:r>
            <w:r>
              <w:rPr>
                <w:rFonts w:ascii="Calibri" w:hAnsi="Calibri"/>
                <w:b/>
                <w:i w:val="0"/>
                <w:color w:val="000000"/>
                <w:sz w:val="19"/>
              </w:rPr>
              <w:t>Guardian</w:t>
            </w:r>
            <w:r>
              <w:rPr>
                <w:rFonts w:ascii="Calibri" w:hAnsi="Calibri"/>
                <w:b w:val="0"/>
                <w:i w:val="0"/>
                <w:color w:val="000000"/>
                <w:sz w:val="19"/>
              </w:rPr>
              <w:t>, que detecta consumos anómalos. Una regla atraviesa todo: las decisiones se toman con la partición temporal, entrenando hasta abril y probando en mayo.</w:t>
            </w:r>
          </w:p>
        </w:tc>
      </w:tr>
      <w:tr>
        <w:tc>
          <w:tcPr>
            <w:tcW w:type="dxa" w:w="1134"/>
          </w:tcPr>
          <w:p>
            <w:pPr>
              <w:keepNext w:val="0"/>
              <w:spacing w:before="40" w:after="40"/>
              <w:jc w:val="center"/>
            </w:pPr>
            <w:r/>
            <w:r>
              <w:rPr>
                <w:rFonts w:ascii="Calibri" w:hAnsi="Calibri"/>
                <w:b w:val="0"/>
                <w:i w:val="0"/>
                <w:color w:val="000000"/>
                <w:sz w:val="19"/>
              </w:rPr>
              <w:t>3</w:t>
            </w:r>
          </w:p>
        </w:tc>
        <w:tc>
          <w:tcPr>
            <w:tcW w:type="dxa" w:w="8164"/>
          </w:tcPr>
          <w:p>
            <w:pPr>
              <w:keepNext w:val="0"/>
              <w:spacing w:before="40" w:after="40"/>
            </w:pPr>
            <w:r/>
            <w:r>
              <w:rPr>
                <w:rFonts w:ascii="Calibri" w:hAnsi="Calibri"/>
                <w:b w:val="0"/>
                <w:i w:val="0"/>
                <w:color w:val="000000"/>
                <w:sz w:val="19"/>
              </w:rPr>
              <w:t>Cada taller responde una pregunta de Shiro: si algún boosting reemplaza a los modelos vigentes, cuántos tipos de día tiene la casa, si esos tipos son reales y qué no encaja en ningún patrón. Los tres de clustering forman una cadena: encontrar, auditar y buscar lo que queda fuera.</w:t>
            </w:r>
          </w:p>
        </w:tc>
      </w:tr>
      <w:tr>
        <w:tc>
          <w:tcPr>
            <w:tcW w:type="dxa" w:w="1134"/>
            <w:shd w:val="clear" w:color="auto" w:fill="FAFAFA"/>
          </w:tcPr>
          <w:p>
            <w:pPr>
              <w:keepNext w:val="0"/>
              <w:spacing w:before="40" w:after="40"/>
              <w:jc w:val="center"/>
            </w:pPr>
            <w:r/>
            <w:r>
              <w:rPr>
                <w:rFonts w:ascii="Calibri" w:hAnsi="Calibri"/>
                <w:b w:val="0"/>
                <w:i w:val="0"/>
                <w:color w:val="000000"/>
                <w:sz w:val="19"/>
              </w:rPr>
              <w:t>4</w:t>
            </w:r>
          </w:p>
        </w:tc>
        <w:tc>
          <w:tcPr>
            <w:tcW w:type="dxa" w:w="8164"/>
            <w:shd w:val="clear" w:color="auto" w:fill="FAFAFA"/>
          </w:tcPr>
          <w:p>
            <w:pPr>
              <w:keepNext w:val="0"/>
              <w:spacing w:before="40" w:after="40"/>
            </w:pPr>
            <w:r/>
            <w:r>
              <w:rPr>
                <w:rFonts w:ascii="Calibri" w:hAnsi="Calibri"/>
                <w:b w:val="0"/>
                <w:i w:val="0"/>
                <w:color w:val="000000"/>
                <w:sz w:val="19"/>
              </w:rPr>
              <w:t>El dataset es Appliances Energy Prediction: 19.735 lecturas cada diez minutos, 136 días completos, 29 variables y un umbral de anomalía de 200 Wh.</w:t>
            </w:r>
          </w:p>
        </w:tc>
      </w:tr>
      <w:tr>
        <w:tc>
          <w:tcPr>
            <w:tcW w:type="dxa" w:w="1134"/>
          </w:tcPr>
          <w:p>
            <w:pPr>
              <w:keepNext w:val="0"/>
              <w:spacing w:before="40" w:after="40"/>
              <w:jc w:val="center"/>
            </w:pPr>
            <w:r/>
            <w:r>
              <w:rPr>
                <w:rFonts w:ascii="Calibri" w:hAnsi="Calibri"/>
                <w:b w:val="0"/>
                <w:i w:val="0"/>
                <w:color w:val="000000"/>
                <w:sz w:val="19"/>
              </w:rPr>
              <w:t>5</w:t>
            </w:r>
          </w:p>
        </w:tc>
        <w:tc>
          <w:tcPr>
            <w:tcW w:type="dxa" w:w="8164"/>
          </w:tcPr>
          <w:p>
            <w:pPr>
              <w:keepNext w:val="0"/>
              <w:spacing w:before="40" w:after="40"/>
            </w:pPr>
            <w:r/>
            <w:r>
              <w:rPr>
                <w:rFonts w:ascii="Calibri" w:hAnsi="Calibri"/>
                <w:b w:val="0"/>
                <w:i w:val="0"/>
                <w:color w:val="000000"/>
                <w:sz w:val="19"/>
              </w:rPr>
              <w:t>Cada uno presenta un taller. Empiezo yo con boosting.</w:t>
            </w:r>
          </w:p>
        </w:tc>
      </w:tr>
    </w:tbl>
    <w:p>
      <w:pPr>
        <w:spacing w:after="40"/>
      </w:pPr>
    </w:p>
    <w:p>
      <w:pPr>
        <w:keepNext/>
        <w:spacing w:before="220" w:after="80"/>
      </w:pPr>
      <w:r>
        <w:rPr>
          <w:rFonts w:ascii="Calibri" w:hAnsi="Calibri"/>
          <w:b/>
          <w:i w:val="0"/>
          <w:color w:val="1F3864"/>
          <w:sz w:val="23"/>
        </w:rPr>
        <w:t>Taller 1 · Boosting — Jose · diapositivas 6–20 · 3:45 min</w:t>
      </w:r>
    </w:p>
    <w:tbl>
      <w:tblPr>
        <w:tblStyle w:val="TableGrid"/>
        <w:tblW w:type="auto" w:w="0"/>
        <w:jc w:val="center"/>
        <w:tblLook w:firstColumn="1" w:firstRow="1" w:lastColumn="0" w:lastRow="0" w:noHBand="0" w:noVBand="1" w:val="04A0"/>
      </w:tblPr>
      <w:tblGrid>
        <w:gridCol w:w="4873"/>
        <w:gridCol w:w="4873"/>
      </w:tblGrid>
      <w:tr>
        <w:tc>
          <w:tcPr>
            <w:tcW w:type="dxa" w:w="1134"/>
            <w:shd w:val="clear" w:color="auto" w:fill="1F3864"/>
          </w:tcPr>
          <w:p>
            <w:pPr>
              <w:keepNext w:val="0"/>
              <w:spacing w:before="40" w:after="40"/>
              <w:jc w:val="center"/>
            </w:pPr>
            <w:r/>
            <w:r>
              <w:rPr>
                <w:rFonts w:ascii="Calibri" w:hAnsi="Calibri"/>
                <w:b/>
                <w:i w:val="0"/>
                <w:color w:val="FFFFFF"/>
                <w:sz w:val="19"/>
              </w:rPr>
              <w:t>Diap.</w:t>
            </w:r>
          </w:p>
        </w:tc>
        <w:tc>
          <w:tcPr>
            <w:tcW w:type="dxa" w:w="8164"/>
            <w:shd w:val="clear" w:color="auto" w:fill="1F3864"/>
          </w:tcPr>
          <w:p>
            <w:pPr>
              <w:keepNext w:val="0"/>
              <w:spacing w:before="40" w:after="40"/>
            </w:pPr>
            <w:r/>
            <w:r>
              <w:rPr>
                <w:rFonts w:ascii="Calibri" w:hAnsi="Calibri"/>
                <w:b/>
                <w:i w:val="0"/>
                <w:color w:val="FFFFFF"/>
                <w:sz w:val="19"/>
              </w:rPr>
              <w:t>Qué decir</w:t>
            </w:r>
          </w:p>
        </w:tc>
      </w:tr>
      <w:tr>
        <w:tc>
          <w:tcPr>
            <w:tcW w:type="dxa" w:w="1134"/>
          </w:tcPr>
          <w:p>
            <w:pPr>
              <w:keepNext w:val="0"/>
              <w:spacing w:before="40" w:after="40"/>
              <w:jc w:val="center"/>
            </w:pPr>
            <w:r/>
            <w:r>
              <w:rPr>
                <w:rFonts w:ascii="Calibri" w:hAnsi="Calibri"/>
                <w:b w:val="0"/>
                <w:i w:val="0"/>
                <w:color w:val="000000"/>
                <w:sz w:val="19"/>
              </w:rPr>
              <w:t>6–7</w:t>
            </w:r>
          </w:p>
        </w:tc>
        <w:tc>
          <w:tcPr>
            <w:tcW w:type="dxa" w:w="8164"/>
          </w:tcPr>
          <w:p>
            <w:pPr>
              <w:keepNext w:val="0"/>
              <w:spacing w:before="40" w:after="40"/>
            </w:pPr>
            <w:r/>
            <w:r>
              <w:rPr>
                <w:rFonts w:ascii="Calibri" w:hAnsi="Calibri"/>
                <w:b w:val="0"/>
                <w:i w:val="0"/>
                <w:color w:val="000000"/>
                <w:sz w:val="19"/>
              </w:rPr>
              <w:t>La pregunta es si alguno de los cinco boostings reemplaza a los modelos vigentes: la regresión lineal con retardos como simulador, con R² de 0,557 en mayo, y Random Forest como detector, que encuentra el 86,9 % de los episodios. Antes de correr nada escribimos tres hipótesis.</w:t>
            </w:r>
          </w:p>
        </w:tc>
      </w:tr>
      <w:tr>
        <w:tc>
          <w:tcPr>
            <w:tcW w:type="dxa" w:w="1134"/>
            <w:shd w:val="clear" w:color="auto" w:fill="FAFAFA"/>
          </w:tcPr>
          <w:p>
            <w:pPr>
              <w:keepNext w:val="0"/>
              <w:spacing w:before="40" w:after="40"/>
              <w:jc w:val="center"/>
            </w:pPr>
            <w:r/>
            <w:r>
              <w:rPr>
                <w:rFonts w:ascii="Calibri" w:hAnsi="Calibri"/>
                <w:b w:val="0"/>
                <w:i w:val="0"/>
                <w:color w:val="000000"/>
                <w:sz w:val="19"/>
              </w:rPr>
              <w:t>8–9</w:t>
            </w:r>
          </w:p>
        </w:tc>
        <w:tc>
          <w:tcPr>
            <w:tcW w:type="dxa" w:w="8164"/>
            <w:shd w:val="clear" w:color="auto" w:fill="FAFAFA"/>
          </w:tcPr>
          <w:p>
            <w:pPr>
              <w:keepNext w:val="0"/>
              <w:spacing w:before="40" w:after="40"/>
            </w:pPr>
            <w:r/>
            <w:r>
              <w:rPr>
                <w:rFonts w:ascii="Calibri" w:hAnsi="Calibri"/>
                <w:b w:val="0"/>
                <w:i/>
                <w:color w:val="000000"/>
                <w:sz w:val="19"/>
              </w:rPr>
              <w:t>(Pasar rápido.)</w:t>
            </w:r>
            <w:r>
              <w:rPr>
                <w:rFonts w:ascii="Calibri" w:hAnsi="Calibri"/>
                <w:b w:val="0"/>
                <w:i w:val="0"/>
                <w:color w:val="000000"/>
                <w:sz w:val="19"/>
              </w:rPr>
              <w:t xml:space="preserve"> Los cinco encadenan árboles que corrigen al anterior. Para que la comparación sea justa, el número de árboles se elige con una validación sacada del propio entrenamiento: nunca miramos mayo.</w:t>
            </w:r>
          </w:p>
        </w:tc>
      </w:tr>
      <w:tr>
        <w:tc>
          <w:tcPr>
            <w:tcW w:type="dxa" w:w="1134"/>
          </w:tcPr>
          <w:p>
            <w:pPr>
              <w:keepNext w:val="0"/>
              <w:spacing w:before="40" w:after="40"/>
              <w:jc w:val="center"/>
            </w:pPr>
            <w:r/>
            <w:r>
              <w:rPr>
                <w:rFonts w:ascii="Calibri" w:hAnsi="Calibri"/>
                <w:b w:val="0"/>
                <w:i w:val="0"/>
                <w:color w:val="000000"/>
                <w:sz w:val="19"/>
              </w:rPr>
              <w:t>10–11</w:t>
            </w:r>
          </w:p>
        </w:tc>
        <w:tc>
          <w:tcPr>
            <w:tcW w:type="dxa" w:w="8164"/>
          </w:tcPr>
          <w:p>
            <w:pPr>
              <w:keepNext w:val="0"/>
              <w:spacing w:before="40" w:after="40"/>
            </w:pPr>
            <w:r/>
            <w:r>
              <w:rPr>
                <w:rFonts w:ascii="Calibri" w:hAnsi="Calibri"/>
                <w:b w:val="0"/>
                <w:i w:val="0"/>
                <w:color w:val="000000"/>
                <w:sz w:val="19"/>
              </w:rPr>
              <w:t xml:space="preserve">En la partición aleatoria gana el boosting: LightGBM llega a </w:t>
            </w:r>
            <w:r>
              <w:rPr>
                <w:rFonts w:ascii="Calibri" w:hAnsi="Calibri"/>
                <w:b/>
                <w:i w:val="0"/>
                <w:color w:val="000000"/>
                <w:sz w:val="19"/>
              </w:rPr>
              <w:t>0,598</w:t>
            </w:r>
            <w:r>
              <w:rPr>
                <w:rFonts w:ascii="Calibri" w:hAnsi="Calibri"/>
                <w:b w:val="0"/>
                <w:i w:val="0"/>
                <w:color w:val="000000"/>
                <w:sz w:val="19"/>
              </w:rPr>
              <w:t xml:space="preserve">, el mejor regresor del proyecto. Pero en la temporal con retardos, la que decide, LightGBM empata con la lineal, </w:t>
            </w:r>
            <w:r>
              <w:rPr>
                <w:rFonts w:ascii="Calibri" w:hAnsi="Calibri"/>
                <w:b/>
                <w:i w:val="0"/>
                <w:color w:val="000000"/>
                <w:sz w:val="19"/>
              </w:rPr>
              <w:t>0,554 frente a 0,557</w:t>
            </w:r>
            <w:r>
              <w:rPr>
                <w:rFonts w:ascii="Calibri" w:hAnsi="Calibri"/>
                <w:b w:val="0"/>
                <w:i w:val="0"/>
                <w:color w:val="000000"/>
                <w:sz w:val="19"/>
              </w:rPr>
              <w:t>, y con más sesgo. No la reemplaza.</w:t>
            </w:r>
          </w:p>
        </w:tc>
      </w:tr>
      <w:tr>
        <w:tc>
          <w:tcPr>
            <w:tcW w:type="dxa" w:w="1134"/>
            <w:shd w:val="clear" w:color="auto" w:fill="FAFAFA"/>
          </w:tcPr>
          <w:p>
            <w:pPr>
              <w:keepNext w:val="0"/>
              <w:spacing w:before="40" w:after="40"/>
              <w:jc w:val="center"/>
            </w:pPr>
            <w:r/>
            <w:r>
              <w:rPr>
                <w:rFonts w:ascii="Calibri" w:hAnsi="Calibri"/>
                <w:b w:val="0"/>
                <w:i w:val="0"/>
                <w:color w:val="000000"/>
                <w:sz w:val="19"/>
              </w:rPr>
              <w:t>12</w:t>
            </w:r>
          </w:p>
        </w:tc>
        <w:tc>
          <w:tcPr>
            <w:tcW w:type="dxa" w:w="8164"/>
            <w:shd w:val="clear" w:color="auto" w:fill="FAFAFA"/>
          </w:tcPr>
          <w:p>
            <w:pPr>
              <w:keepNext w:val="0"/>
              <w:spacing w:before="40" w:after="40"/>
            </w:pPr>
            <w:r/>
            <w:r>
              <w:rPr>
                <w:rFonts w:ascii="Calibri" w:hAnsi="Calibri"/>
                <w:b w:val="0"/>
                <w:i w:val="0"/>
                <w:color w:val="000000"/>
                <w:sz w:val="19"/>
              </w:rPr>
              <w:t>De las hipótesis: la primera se cumple a medias, la segunda se refuta —las hojas lineales empeoran— y la tercera se confirma: la validación le deja a AdaBoost entre 1 y 14 árboles.</w:t>
            </w:r>
          </w:p>
        </w:tc>
      </w:tr>
      <w:tr>
        <w:tc>
          <w:tcPr>
            <w:tcW w:type="dxa" w:w="1134"/>
          </w:tcPr>
          <w:p>
            <w:pPr>
              <w:keepNext w:val="0"/>
              <w:spacing w:before="40" w:after="40"/>
              <w:jc w:val="center"/>
            </w:pPr>
            <w:r/>
            <w:r>
              <w:rPr>
                <w:rFonts w:ascii="Calibri" w:hAnsi="Calibri"/>
                <w:b w:val="0"/>
                <w:i w:val="0"/>
                <w:color w:val="000000"/>
                <w:sz w:val="19"/>
              </w:rPr>
              <w:t>13–15</w:t>
            </w:r>
          </w:p>
        </w:tc>
        <w:tc>
          <w:tcPr>
            <w:tcW w:type="dxa" w:w="8164"/>
          </w:tcPr>
          <w:p>
            <w:pPr>
              <w:keepNext w:val="0"/>
              <w:spacing w:before="40" w:after="40"/>
            </w:pPr>
            <w:r/>
            <w:r>
              <w:rPr>
                <w:rFonts w:ascii="Calibri" w:hAnsi="Calibri"/>
                <w:b w:val="0"/>
                <w:i w:val="0"/>
                <w:color w:val="000000"/>
                <w:sz w:val="19"/>
              </w:rPr>
              <w:t xml:space="preserve">El hallazgo más importante: todos los árboles sobreestiman mayo. ¿Por qué? El </w:t>
            </w:r>
            <w:r>
              <w:rPr>
                <w:rFonts w:ascii="Calibri" w:hAnsi="Calibri"/>
                <w:b/>
                <w:i w:val="0"/>
                <w:color w:val="000000"/>
                <w:sz w:val="19"/>
              </w:rPr>
              <w:t>71,9 %</w:t>
            </w:r>
            <w:r>
              <w:rPr>
                <w:rFonts w:ascii="Calibri" w:hAnsi="Calibri"/>
                <w:b w:val="0"/>
                <w:i w:val="0"/>
                <w:color w:val="000000"/>
                <w:sz w:val="19"/>
              </w:rPr>
              <w:t xml:space="preserve"> de las lecturas de mayo son más cálidas que cualquiera del invierno, y en invierno una casa más cálida consumía más, porque parte del calor venía de los aparatos. Si quitamos las once variables de temperatura, el sesgo de LightGBM cae de </w:t>
            </w:r>
            <w:r>
              <w:rPr>
                <w:rFonts w:ascii="Calibri" w:hAnsi="Calibri"/>
                <w:b/>
                <w:i w:val="0"/>
                <w:color w:val="000000"/>
                <w:sz w:val="19"/>
              </w:rPr>
              <w:t>47 a 3,8 Wh</w:t>
            </w:r>
            <w:r>
              <w:rPr>
                <w:rFonts w:ascii="Calibri" w:hAnsi="Calibri"/>
                <w:b w:val="0"/>
                <w:i w:val="0"/>
                <w:color w:val="000000"/>
                <w:sz w:val="19"/>
              </w:rPr>
              <w:t>. La temperatura interior se queda en el MDP para medir el confort, pero no como predictor de consumo.</w:t>
            </w:r>
          </w:p>
        </w:tc>
      </w:tr>
      <w:tr>
        <w:tc>
          <w:tcPr>
            <w:tcW w:type="dxa" w:w="1134"/>
            <w:shd w:val="clear" w:color="auto" w:fill="FAFAFA"/>
          </w:tcPr>
          <w:p>
            <w:pPr>
              <w:keepNext w:val="0"/>
              <w:spacing w:before="40" w:after="40"/>
              <w:jc w:val="center"/>
            </w:pPr>
            <w:r/>
            <w:r>
              <w:rPr>
                <w:rFonts w:ascii="Calibri" w:hAnsi="Calibri"/>
                <w:b w:val="0"/>
                <w:i w:val="0"/>
                <w:color w:val="000000"/>
                <w:sz w:val="19"/>
              </w:rPr>
              <w:t>16</w:t>
            </w:r>
          </w:p>
        </w:tc>
        <w:tc>
          <w:tcPr>
            <w:tcW w:type="dxa" w:w="8164"/>
            <w:shd w:val="clear" w:color="auto" w:fill="FAFAFA"/>
          </w:tcPr>
          <w:p>
            <w:pPr>
              <w:keepNext w:val="0"/>
              <w:spacing w:before="40" w:after="40"/>
            </w:pPr>
            <w:r/>
            <w:r>
              <w:rPr>
                <w:rFonts w:ascii="Calibri" w:hAnsi="Calibri"/>
                <w:b w:val="0"/>
                <w:i w:val="0"/>
                <w:color w:val="000000"/>
                <w:sz w:val="19"/>
              </w:rPr>
              <w:t>En clasificación, por lectura, el boosting ordena mejor: tiene mayor AUC y average precision. Pero no gana en todo: en precisión, Random Forest supera a CatBoost.</w:t>
            </w:r>
          </w:p>
        </w:tc>
      </w:tr>
      <w:tr>
        <w:tc>
          <w:tcPr>
            <w:tcW w:type="dxa" w:w="1134"/>
          </w:tcPr>
          <w:p>
            <w:pPr>
              <w:keepNext w:val="0"/>
              <w:spacing w:before="40" w:after="40"/>
              <w:jc w:val="center"/>
            </w:pPr>
            <w:r/>
            <w:r>
              <w:rPr>
                <w:rFonts w:ascii="Calibri" w:hAnsi="Calibri"/>
                <w:b w:val="0"/>
                <w:i w:val="0"/>
                <w:color w:val="000000"/>
                <w:sz w:val="19"/>
              </w:rPr>
              <w:t>17–18</w:t>
            </w:r>
          </w:p>
        </w:tc>
        <w:tc>
          <w:tcPr>
            <w:tcW w:type="dxa" w:w="8164"/>
          </w:tcPr>
          <w:p>
            <w:pPr>
              <w:keepNext w:val="0"/>
              <w:spacing w:before="40" w:after="40"/>
            </w:pPr>
            <w:r/>
            <w:r>
              <w:rPr>
                <w:rFonts w:ascii="Calibri" w:hAnsi="Calibri"/>
                <w:b w:val="0"/>
                <w:i w:val="0"/>
                <w:color w:val="000000"/>
                <w:sz w:val="19"/>
              </w:rPr>
              <w:t xml:space="preserve">Aquí corregimos un método del parcial. Comparar con el mismo número de avisos por día se puede ganar con trampa: GBM detecta el 98,8 % con avisos de más de cinco horas. Lo justo es comparar con el mismo </w:t>
            </w:r>
            <w:r>
              <w:rPr>
                <w:rFonts w:ascii="Calibri" w:hAnsi="Calibri"/>
                <w:b/>
                <w:i w:val="0"/>
                <w:color w:val="000000"/>
                <w:sz w:val="19"/>
              </w:rPr>
              <w:t>tiempo en alerta</w:t>
            </w:r>
            <w:r>
              <w:rPr>
                <w:rFonts w:ascii="Calibri" w:hAnsi="Calibri"/>
                <w:b w:val="0"/>
                <w:i w:val="0"/>
                <w:color w:val="000000"/>
                <w:sz w:val="19"/>
              </w:rPr>
              <w:t>. Así, todos detectan entre el 84 y el 88 %, pero Random Forest avisa menos y con menos falsos. El detector no cambia.</w:t>
            </w:r>
          </w:p>
        </w:tc>
      </w:tr>
      <w:tr>
        <w:tc>
          <w:tcPr>
            <w:tcW w:type="dxa" w:w="1134"/>
            <w:shd w:val="clear" w:color="auto" w:fill="FAFAFA"/>
          </w:tcPr>
          <w:p>
            <w:pPr>
              <w:keepNext w:val="0"/>
              <w:spacing w:before="40" w:after="40"/>
              <w:jc w:val="center"/>
            </w:pPr>
            <w:r/>
            <w:r>
              <w:rPr>
                <w:rFonts w:ascii="Calibri" w:hAnsi="Calibri"/>
                <w:b w:val="0"/>
                <w:i w:val="0"/>
                <w:color w:val="000000"/>
                <w:sz w:val="19"/>
              </w:rPr>
              <w:t>19–20</w:t>
            </w:r>
          </w:p>
        </w:tc>
        <w:tc>
          <w:tcPr>
            <w:tcW w:type="dxa" w:w="8164"/>
            <w:shd w:val="clear" w:color="auto" w:fill="FAFAFA"/>
          </w:tcPr>
          <w:p>
            <w:pPr>
              <w:keepNext w:val="0"/>
              <w:spacing w:before="40" w:after="40"/>
            </w:pPr>
            <w:r/>
            <w:r>
              <w:rPr>
                <w:rFonts w:ascii="Calibri" w:hAnsi="Calibri"/>
                <w:b w:val="0"/>
                <w:i w:val="0"/>
                <w:color w:val="000000"/>
                <w:sz w:val="19"/>
              </w:rPr>
              <w:t>LightGBM empata porque aprende casi lo mismo que la lineal: el 86,5 % de su ganancia viene de los retardos. En resumen: simulador y detector no cambian, encontramos la causa del colapso temporal y cambiamos la regla de evaluación. Sofía sigue con K-Means.</w:t>
            </w:r>
          </w:p>
        </w:tc>
      </w:tr>
    </w:tbl>
    <w:p>
      <w:pPr>
        <w:spacing w:after="40"/>
      </w:pPr>
    </w:p>
    <w:p>
      <w:pPr>
        <w:keepNext/>
        <w:spacing w:before="220" w:after="80"/>
      </w:pPr>
      <w:r>
        <w:rPr>
          <w:rFonts w:ascii="Calibri" w:hAnsi="Calibri"/>
          <w:b/>
          <w:i w:val="0"/>
          <w:color w:val="1F3864"/>
          <w:sz w:val="23"/>
        </w:rPr>
        <w:t>Taller 2 · K-Means — Sofía · diapositivas 21–33 · 3:45 min</w:t>
      </w:r>
    </w:p>
    <w:tbl>
      <w:tblPr>
        <w:tblStyle w:val="TableGrid"/>
        <w:tblW w:type="auto" w:w="0"/>
        <w:jc w:val="center"/>
        <w:tblLook w:firstColumn="1" w:firstRow="1" w:lastColumn="0" w:lastRow="0" w:noHBand="0" w:noVBand="1" w:val="04A0"/>
      </w:tblPr>
      <w:tblGrid>
        <w:gridCol w:w="4873"/>
        <w:gridCol w:w="4873"/>
      </w:tblGrid>
      <w:tr>
        <w:tc>
          <w:tcPr>
            <w:tcW w:type="dxa" w:w="1134"/>
            <w:shd w:val="clear" w:color="auto" w:fill="1F3864"/>
          </w:tcPr>
          <w:p>
            <w:pPr>
              <w:keepNext w:val="0"/>
              <w:spacing w:before="40" w:after="40"/>
              <w:jc w:val="center"/>
            </w:pPr>
            <w:r/>
            <w:r>
              <w:rPr>
                <w:rFonts w:ascii="Calibri" w:hAnsi="Calibri"/>
                <w:b/>
                <w:i w:val="0"/>
                <w:color w:val="FFFFFF"/>
                <w:sz w:val="19"/>
              </w:rPr>
              <w:t>Diap.</w:t>
            </w:r>
          </w:p>
        </w:tc>
        <w:tc>
          <w:tcPr>
            <w:tcW w:type="dxa" w:w="8164"/>
            <w:shd w:val="clear" w:color="auto" w:fill="1F3864"/>
          </w:tcPr>
          <w:p>
            <w:pPr>
              <w:keepNext w:val="0"/>
              <w:spacing w:before="40" w:after="40"/>
            </w:pPr>
            <w:r/>
            <w:r>
              <w:rPr>
                <w:rFonts w:ascii="Calibri" w:hAnsi="Calibri"/>
                <w:b/>
                <w:i w:val="0"/>
                <w:color w:val="FFFFFF"/>
                <w:sz w:val="19"/>
              </w:rPr>
              <w:t>Qué decir</w:t>
            </w:r>
          </w:p>
        </w:tc>
      </w:tr>
      <w:tr>
        <w:tc>
          <w:tcPr>
            <w:tcW w:type="dxa" w:w="1134"/>
          </w:tcPr>
          <w:p>
            <w:pPr>
              <w:keepNext w:val="0"/>
              <w:spacing w:before="40" w:after="40"/>
              <w:jc w:val="center"/>
            </w:pPr>
            <w:r/>
            <w:r>
              <w:rPr>
                <w:rFonts w:ascii="Calibri" w:hAnsi="Calibri"/>
                <w:b w:val="0"/>
                <w:i w:val="0"/>
                <w:color w:val="000000"/>
                <w:sz w:val="19"/>
              </w:rPr>
              <w:t>21–22</w:t>
            </w:r>
          </w:p>
        </w:tc>
        <w:tc>
          <w:tcPr>
            <w:tcW w:type="dxa" w:w="8164"/>
          </w:tcPr>
          <w:p>
            <w:pPr>
              <w:keepNext w:val="0"/>
              <w:spacing w:before="40" w:after="40"/>
            </w:pPr>
            <w:r/>
            <w:r>
              <w:rPr>
                <w:rFonts w:ascii="Calibri" w:hAnsi="Calibri"/>
                <w:b w:val="0"/>
                <w:i w:val="0"/>
                <w:color w:val="000000"/>
                <w:sz w:val="19"/>
              </w:rPr>
              <w:t xml:space="preserve">Gracias. Este taller construye una variable que el estado del agente no tenía: el </w:t>
            </w:r>
            <w:r>
              <w:rPr>
                <w:rFonts w:ascii="Calibri" w:hAnsi="Calibri"/>
                <w:b/>
                <w:i w:val="0"/>
                <w:color w:val="000000"/>
                <w:sz w:val="19"/>
              </w:rPr>
              <w:t>tipo de día</w:t>
            </w:r>
            <w:r>
              <w:rPr>
                <w:rFonts w:ascii="Calibri" w:hAnsi="Calibri"/>
                <w:b w:val="0"/>
                <w:i w:val="0"/>
                <w:color w:val="000000"/>
                <w:sz w:val="19"/>
              </w:rPr>
              <w:t>. Agrupamos días completos, cada uno como su curva de 24 horas.</w:t>
            </w:r>
          </w:p>
        </w:tc>
      </w:tr>
      <w:tr>
        <w:tc>
          <w:tcPr>
            <w:tcW w:type="dxa" w:w="1134"/>
            <w:shd w:val="clear" w:color="auto" w:fill="FAFAFA"/>
          </w:tcPr>
          <w:p>
            <w:pPr>
              <w:keepNext w:val="0"/>
              <w:spacing w:before="40" w:after="40"/>
              <w:jc w:val="center"/>
            </w:pPr>
            <w:r/>
            <w:r>
              <w:rPr>
                <w:rFonts w:ascii="Calibri" w:hAnsi="Calibri"/>
                <w:b w:val="0"/>
                <w:i w:val="0"/>
                <w:color w:val="000000"/>
                <w:sz w:val="19"/>
              </w:rPr>
              <w:t>23</w:t>
            </w:r>
          </w:p>
        </w:tc>
        <w:tc>
          <w:tcPr>
            <w:tcW w:type="dxa" w:w="8164"/>
            <w:shd w:val="clear" w:color="auto" w:fill="FAFAFA"/>
          </w:tcPr>
          <w:p>
            <w:pPr>
              <w:keepNext w:val="0"/>
              <w:spacing w:before="40" w:after="40"/>
            </w:pPr>
            <w:r/>
            <w:r>
              <w:rPr>
                <w:rFonts w:ascii="Calibri" w:hAnsi="Calibri"/>
                <w:b w:val="0"/>
                <w:i w:val="0"/>
                <w:color w:val="000000"/>
                <w:sz w:val="19"/>
              </w:rPr>
              <w:t>No estandarizamos: las 24 columnas están en vatios-hora, y estandarizar amplificaría el ruido de la madrugada. Lo comprobamos: los grupos son los mismos, pero la evidencia para elegir k se debilita.</w:t>
            </w:r>
          </w:p>
        </w:tc>
      </w:tr>
      <w:tr>
        <w:tc>
          <w:tcPr>
            <w:tcW w:type="dxa" w:w="1134"/>
          </w:tcPr>
          <w:p>
            <w:pPr>
              <w:keepNext w:val="0"/>
              <w:spacing w:before="40" w:after="40"/>
              <w:jc w:val="center"/>
            </w:pPr>
            <w:r/>
            <w:r>
              <w:rPr>
                <w:rFonts w:ascii="Calibri" w:hAnsi="Calibri"/>
                <w:b w:val="0"/>
                <w:i w:val="0"/>
                <w:color w:val="000000"/>
                <w:sz w:val="19"/>
              </w:rPr>
              <w:t>24–25</w:t>
            </w:r>
          </w:p>
        </w:tc>
        <w:tc>
          <w:tcPr>
            <w:tcW w:type="dxa" w:w="8164"/>
          </w:tcPr>
          <w:p>
            <w:pPr>
              <w:keepNext w:val="0"/>
              <w:spacing w:before="40" w:after="40"/>
            </w:pPr>
            <w:r/>
            <w:r>
              <w:rPr>
                <w:rFonts w:ascii="Calibri" w:hAnsi="Calibri"/>
                <w:b w:val="0"/>
                <w:i w:val="0"/>
                <w:color w:val="000000"/>
                <w:sz w:val="19"/>
              </w:rPr>
              <w:t xml:space="preserve">Probamos k de 2 a 10 con codo, silueta y Dunn, y las tres coinciden en </w:t>
            </w:r>
            <w:r>
              <w:rPr>
                <w:rFonts w:ascii="Calibri" w:hAnsi="Calibri"/>
                <w:b/>
                <w:i w:val="0"/>
                <w:color w:val="000000"/>
                <w:sz w:val="19"/>
              </w:rPr>
              <w:t>k = 2</w:t>
            </w:r>
            <w:r>
              <w:rPr>
                <w:rFonts w:ascii="Calibri" w:hAnsi="Calibri"/>
                <w:b w:val="0"/>
                <w:i w:val="0"/>
                <w:color w:val="000000"/>
                <w:sz w:val="19"/>
              </w:rPr>
              <w:t>: silueta 0,392 y Dunn 0,260. Además, cada tipo de día multiplica la tabla Q del agente, así que dos tipos también es lo más barato.</w:t>
            </w:r>
          </w:p>
        </w:tc>
      </w:tr>
      <w:tr>
        <w:tc>
          <w:tcPr>
            <w:tcW w:type="dxa" w:w="1134"/>
            <w:shd w:val="clear" w:color="auto" w:fill="FAFAFA"/>
          </w:tcPr>
          <w:p>
            <w:pPr>
              <w:keepNext w:val="0"/>
              <w:spacing w:before="40" w:after="40"/>
              <w:jc w:val="center"/>
            </w:pPr>
            <w:r/>
            <w:r>
              <w:rPr>
                <w:rFonts w:ascii="Calibri" w:hAnsi="Calibri"/>
                <w:b w:val="0"/>
                <w:i w:val="0"/>
                <w:color w:val="000000"/>
                <w:sz w:val="19"/>
              </w:rPr>
              <w:t>26–27</w:t>
            </w:r>
          </w:p>
        </w:tc>
        <w:tc>
          <w:tcPr>
            <w:tcW w:type="dxa" w:w="8164"/>
            <w:shd w:val="clear" w:color="auto" w:fill="FAFAFA"/>
          </w:tcPr>
          <w:p>
            <w:pPr>
              <w:keepNext w:val="0"/>
              <w:spacing w:before="40" w:after="40"/>
            </w:pPr>
            <w:r/>
            <w:r>
              <w:rPr>
                <w:rFonts w:ascii="Calibri" w:hAnsi="Calibri"/>
                <w:b w:val="0"/>
                <w:i w:val="0"/>
                <w:color w:val="000000"/>
                <w:sz w:val="19"/>
              </w:rPr>
              <w:t>En PCA, los días de carga alta se separan a lo largo del primer componente, que mide cuánto se consume de día. t-SNE no muestra nada nuevo, y con perplexity 5 incluso inventa fragmentos. PCA separa mejor porque la diferencia entre tipos es de intensidad.</w:t>
            </w:r>
          </w:p>
        </w:tc>
      </w:tr>
      <w:tr>
        <w:tc>
          <w:tcPr>
            <w:tcW w:type="dxa" w:w="1134"/>
          </w:tcPr>
          <w:p>
            <w:pPr>
              <w:keepNext w:val="0"/>
              <w:spacing w:before="40" w:after="40"/>
              <w:jc w:val="center"/>
            </w:pPr>
            <w:r/>
            <w:r>
              <w:rPr>
                <w:rFonts w:ascii="Calibri" w:hAnsi="Calibri"/>
                <w:b w:val="0"/>
                <w:i w:val="0"/>
                <w:color w:val="000000"/>
                <w:sz w:val="19"/>
              </w:rPr>
              <w:t>28–29</w:t>
            </w:r>
          </w:p>
        </w:tc>
        <w:tc>
          <w:tcPr>
            <w:tcW w:type="dxa" w:w="8164"/>
          </w:tcPr>
          <w:p>
            <w:pPr>
              <w:keepNext w:val="0"/>
              <w:spacing w:before="40" w:after="40"/>
            </w:pPr>
            <w:r/>
            <w:r>
              <w:rPr>
                <w:rFonts w:ascii="Calibri" w:hAnsi="Calibri"/>
                <w:b w:val="0"/>
                <w:i w:val="0"/>
                <w:color w:val="000000"/>
                <w:sz w:val="19"/>
              </w:rPr>
              <w:t>Así son los dos tipos: el día normal consume 12,2 kWh con un pico a las 18 h; el de carga alta, 20,9 kWh con un bloque diurno de 8 a 18 h. Ni el calendario ni el clima los explican: la V de Cramér con el fin de semana es cero. Lo que sube es la actividad: luces y humedad de lavandería y cocina. En el sector, el día de carga alta es el día de lavar y cocinar: ahí están las cargas que Shiro puede mover de hora.</w:t>
            </w:r>
          </w:p>
        </w:tc>
      </w:tr>
      <w:tr>
        <w:tc>
          <w:tcPr>
            <w:tcW w:type="dxa" w:w="1134"/>
            <w:shd w:val="clear" w:color="auto" w:fill="FAFAFA"/>
          </w:tcPr>
          <w:p>
            <w:pPr>
              <w:keepNext w:val="0"/>
              <w:spacing w:before="40" w:after="40"/>
              <w:jc w:val="center"/>
            </w:pPr>
            <w:r/>
            <w:r>
              <w:rPr>
                <w:rFonts w:ascii="Calibri" w:hAnsi="Calibri"/>
                <w:b w:val="0"/>
                <w:i w:val="0"/>
                <w:color w:val="000000"/>
                <w:sz w:val="19"/>
              </w:rPr>
              <w:t>30</w:t>
            </w:r>
          </w:p>
        </w:tc>
        <w:tc>
          <w:tcPr>
            <w:tcW w:type="dxa" w:w="8164"/>
            <w:shd w:val="clear" w:color="auto" w:fill="FAFAFA"/>
          </w:tcPr>
          <w:p>
            <w:pPr>
              <w:keepNext w:val="0"/>
              <w:spacing w:before="40" w:after="40"/>
            </w:pPr>
            <w:r/>
            <w:r>
              <w:rPr>
                <w:rFonts w:ascii="Calibri" w:hAnsi="Calibri"/>
                <w:b w:val="0"/>
                <w:i w:val="0"/>
                <w:color w:val="000000"/>
                <w:sz w:val="19"/>
              </w:rPr>
              <w:t>Con k = 3 aparece una «mañana activa» típica de fin de semana, pero la silueta cae, así que se documenta y no se adopta.</w:t>
            </w:r>
          </w:p>
        </w:tc>
      </w:tr>
      <w:tr>
        <w:tc>
          <w:tcPr>
            <w:tcW w:type="dxa" w:w="1134"/>
          </w:tcPr>
          <w:p>
            <w:pPr>
              <w:keepNext w:val="0"/>
              <w:spacing w:before="40" w:after="40"/>
              <w:jc w:val="center"/>
            </w:pPr>
            <w:r/>
            <w:r>
              <w:rPr>
                <w:rFonts w:ascii="Calibri" w:hAnsi="Calibri"/>
                <w:b w:val="0"/>
                <w:i w:val="0"/>
                <w:color w:val="000000"/>
                <w:sz w:val="19"/>
              </w:rPr>
              <w:t>31</w:t>
            </w:r>
          </w:p>
        </w:tc>
        <w:tc>
          <w:tcPr>
            <w:tcW w:type="dxa" w:w="8164"/>
          </w:tcPr>
          <w:p>
            <w:pPr>
              <w:keepNext w:val="0"/>
              <w:spacing w:before="40" w:after="40"/>
            </w:pPr>
            <w:r/>
            <w:r>
              <w:rPr>
                <w:rFonts w:ascii="Calibri" w:hAnsi="Calibri"/>
                <w:b w:val="0"/>
                <w:i w:val="0"/>
                <w:color w:val="000000"/>
                <w:sz w:val="19"/>
              </w:rPr>
              <w:t>En mayo no aparecen tipos nuevos, pero los días de carga alta bajan del 22,7 al 11,5 %.</w:t>
            </w:r>
          </w:p>
        </w:tc>
      </w:tr>
      <w:tr>
        <w:tc>
          <w:tcPr>
            <w:tcW w:type="dxa" w:w="1134"/>
            <w:shd w:val="clear" w:color="auto" w:fill="FAFAFA"/>
          </w:tcPr>
          <w:p>
            <w:pPr>
              <w:keepNext w:val="0"/>
              <w:spacing w:before="40" w:after="40"/>
              <w:jc w:val="center"/>
            </w:pPr>
            <w:r/>
            <w:r>
              <w:rPr>
                <w:rFonts w:ascii="Calibri" w:hAnsi="Calibri"/>
                <w:b w:val="0"/>
                <w:i w:val="0"/>
                <w:color w:val="000000"/>
                <w:sz w:val="19"/>
              </w:rPr>
              <w:t>32</w:t>
            </w:r>
          </w:p>
        </w:tc>
        <w:tc>
          <w:tcPr>
            <w:tcW w:type="dxa" w:w="8164"/>
            <w:shd w:val="clear" w:color="auto" w:fill="FAFAFA"/>
          </w:tcPr>
          <w:p>
            <w:pPr>
              <w:keepNext w:val="0"/>
              <w:spacing w:before="40" w:after="40"/>
            </w:pPr>
            <w:r/>
            <w:r>
              <w:rPr>
                <w:rFonts w:ascii="Calibri" w:hAnsi="Calibri"/>
                <w:b w:val="0"/>
                <w:i w:val="0"/>
                <w:color w:val="000000"/>
                <w:sz w:val="19"/>
              </w:rPr>
              <w:t xml:space="preserve">Y una pregunta que el enunciado no hace: ¿cuándo sabe el agente qué tipo de día es? Hasta las 8 de la mañana no puede saberlo; a mediodía reconoce nueve de cada diez días de carga alta. Por eso el tipo de día entra al estado como una </w:t>
            </w:r>
            <w:r>
              <w:rPr>
                <w:rFonts w:ascii="Calibri" w:hAnsi="Calibri"/>
                <w:b/>
                <w:i w:val="0"/>
                <w:color w:val="000000"/>
                <w:sz w:val="19"/>
              </w:rPr>
              <w:t>estimación que se actualiza</w:t>
            </w:r>
            <w:r>
              <w:rPr>
                <w:rFonts w:ascii="Calibri" w:hAnsi="Calibri"/>
                <w:b w:val="0"/>
                <w:i w:val="0"/>
                <w:color w:val="000000"/>
                <w:sz w:val="19"/>
              </w:rPr>
              <w:t>.</w:t>
            </w:r>
          </w:p>
        </w:tc>
      </w:tr>
      <w:tr>
        <w:tc>
          <w:tcPr>
            <w:tcW w:type="dxa" w:w="1134"/>
          </w:tcPr>
          <w:p>
            <w:pPr>
              <w:keepNext w:val="0"/>
              <w:spacing w:before="40" w:after="40"/>
              <w:jc w:val="center"/>
            </w:pPr>
            <w:r/>
            <w:r>
              <w:rPr>
                <w:rFonts w:ascii="Calibri" w:hAnsi="Calibri"/>
                <w:b w:val="0"/>
                <w:i w:val="0"/>
                <w:color w:val="000000"/>
                <w:sz w:val="19"/>
              </w:rPr>
              <w:t>33</w:t>
            </w:r>
          </w:p>
        </w:tc>
        <w:tc>
          <w:tcPr>
            <w:tcW w:type="dxa" w:w="8164"/>
          </w:tcPr>
          <w:p>
            <w:pPr>
              <w:keepNext w:val="0"/>
              <w:spacing w:before="40" w:after="40"/>
            </w:pPr>
            <w:r/>
            <w:r>
              <w:rPr>
                <w:rFonts w:ascii="Calibri" w:hAnsi="Calibri"/>
                <w:b w:val="0"/>
                <w:i w:val="0"/>
                <w:color w:val="000000"/>
                <w:sz w:val="19"/>
              </w:rPr>
              <w:t>Queda una pregunta: ¿estos dos tipos son reales o un artefacto de K-Means? Andrés lo responde.</w:t>
            </w:r>
          </w:p>
        </w:tc>
      </w:tr>
    </w:tbl>
    <w:p>
      <w:pPr>
        <w:spacing w:after="40"/>
      </w:pPr>
    </w:p>
    <w:p>
      <w:pPr>
        <w:keepNext/>
        <w:spacing w:before="220" w:after="80"/>
      </w:pPr>
      <w:r>
        <w:rPr>
          <w:rFonts w:ascii="Calibri" w:hAnsi="Calibri"/>
          <w:b/>
          <w:i w:val="0"/>
          <w:color w:val="1F3864"/>
          <w:sz w:val="23"/>
        </w:rPr>
        <w:t>Taller 3 · Clustering jerárquico — Andrés · diapositivas 34–47 · 3:45 min</w:t>
      </w:r>
    </w:p>
    <w:tbl>
      <w:tblPr>
        <w:tblStyle w:val="TableGrid"/>
        <w:tblW w:type="auto" w:w="0"/>
        <w:jc w:val="center"/>
        <w:tblLook w:firstColumn="1" w:firstRow="1" w:lastColumn="0" w:lastRow="0" w:noHBand="0" w:noVBand="1" w:val="04A0"/>
      </w:tblPr>
      <w:tblGrid>
        <w:gridCol w:w="4873"/>
        <w:gridCol w:w="4873"/>
      </w:tblGrid>
      <w:tr>
        <w:tc>
          <w:tcPr>
            <w:tcW w:type="dxa" w:w="1134"/>
            <w:shd w:val="clear" w:color="auto" w:fill="1F3864"/>
          </w:tcPr>
          <w:p>
            <w:pPr>
              <w:keepNext w:val="0"/>
              <w:spacing w:before="40" w:after="40"/>
              <w:jc w:val="center"/>
            </w:pPr>
            <w:r/>
            <w:r>
              <w:rPr>
                <w:rFonts w:ascii="Calibri" w:hAnsi="Calibri"/>
                <w:b/>
                <w:i w:val="0"/>
                <w:color w:val="FFFFFF"/>
                <w:sz w:val="19"/>
              </w:rPr>
              <w:t>Diap.</w:t>
            </w:r>
          </w:p>
        </w:tc>
        <w:tc>
          <w:tcPr>
            <w:tcW w:type="dxa" w:w="8164"/>
            <w:shd w:val="clear" w:color="auto" w:fill="1F3864"/>
          </w:tcPr>
          <w:p>
            <w:pPr>
              <w:keepNext w:val="0"/>
              <w:spacing w:before="40" w:after="40"/>
            </w:pPr>
            <w:r/>
            <w:r>
              <w:rPr>
                <w:rFonts w:ascii="Calibri" w:hAnsi="Calibri"/>
                <w:b/>
                <w:i w:val="0"/>
                <w:color w:val="FFFFFF"/>
                <w:sz w:val="19"/>
              </w:rPr>
              <w:t>Qué decir</w:t>
            </w:r>
          </w:p>
        </w:tc>
      </w:tr>
      <w:tr>
        <w:tc>
          <w:tcPr>
            <w:tcW w:type="dxa" w:w="1134"/>
          </w:tcPr>
          <w:p>
            <w:pPr>
              <w:keepNext w:val="0"/>
              <w:spacing w:before="40" w:after="40"/>
              <w:jc w:val="center"/>
            </w:pPr>
            <w:r/>
            <w:r>
              <w:rPr>
                <w:rFonts w:ascii="Calibri" w:hAnsi="Calibri"/>
                <w:b w:val="0"/>
                <w:i w:val="0"/>
                <w:color w:val="000000"/>
                <w:sz w:val="19"/>
              </w:rPr>
              <w:t>34–35</w:t>
            </w:r>
          </w:p>
        </w:tc>
        <w:tc>
          <w:tcPr>
            <w:tcW w:type="dxa" w:w="8164"/>
          </w:tcPr>
          <w:p>
            <w:pPr>
              <w:keepNext w:val="0"/>
              <w:spacing w:before="40" w:after="40"/>
            </w:pPr>
            <w:r/>
            <w:r>
              <w:rPr>
                <w:rFonts w:ascii="Calibri" w:hAnsi="Calibri"/>
                <w:b w:val="0"/>
                <w:i w:val="0"/>
                <w:color w:val="000000"/>
                <w:sz w:val="19"/>
              </w:rPr>
              <w:t>K-Means siempre devuelve los grupos que se le piden; el jerárquico es la auditoría. Usamos la misma matriz para comparar día por día. En la limpieza, no hay nulos y quitamos dos días incompletos. Y aquí el escalado sí importa: con datos estandarizados, el árbol termina aislando noches raras.</w:t>
            </w:r>
          </w:p>
        </w:tc>
      </w:tr>
      <w:tr>
        <w:tc>
          <w:tcPr>
            <w:tcW w:type="dxa" w:w="1134"/>
            <w:shd w:val="clear" w:color="auto" w:fill="FAFAFA"/>
          </w:tcPr>
          <w:p>
            <w:pPr>
              <w:keepNext w:val="0"/>
              <w:spacing w:before="40" w:after="40"/>
              <w:jc w:val="center"/>
            </w:pPr>
            <w:r/>
            <w:r>
              <w:rPr>
                <w:rFonts w:ascii="Calibri" w:hAnsi="Calibri"/>
                <w:b w:val="0"/>
                <w:i w:val="0"/>
                <w:color w:val="000000"/>
                <w:sz w:val="19"/>
              </w:rPr>
              <w:t>36</w:t>
            </w:r>
          </w:p>
        </w:tc>
        <w:tc>
          <w:tcPr>
            <w:tcW w:type="dxa" w:w="8164"/>
            <w:shd w:val="clear" w:color="auto" w:fill="FAFAFA"/>
          </w:tcPr>
          <w:p>
            <w:pPr>
              <w:keepNext w:val="0"/>
              <w:spacing w:before="40" w:after="40"/>
            </w:pPr>
            <w:r/>
            <w:r>
              <w:rPr>
                <w:rFonts w:ascii="Calibri" w:hAnsi="Calibri"/>
                <w:b w:val="0"/>
                <w:i w:val="0"/>
                <w:color w:val="000000"/>
                <w:sz w:val="19"/>
              </w:rPr>
              <w:t>Aplicamos tres enlaces —Ward, complete y average— y dibujamos cada dendrograma con su línea de corte. Ward tiene el salto más claro; average es una cadena.</w:t>
            </w:r>
          </w:p>
        </w:tc>
      </w:tr>
      <w:tr>
        <w:tc>
          <w:tcPr>
            <w:tcW w:type="dxa" w:w="1134"/>
          </w:tcPr>
          <w:p>
            <w:pPr>
              <w:keepNext w:val="0"/>
              <w:spacing w:before="40" w:after="40"/>
              <w:jc w:val="center"/>
            </w:pPr>
            <w:r/>
            <w:r>
              <w:rPr>
                <w:rFonts w:ascii="Calibri" w:hAnsi="Calibri"/>
                <w:b w:val="0"/>
                <w:i w:val="0"/>
                <w:color w:val="000000"/>
                <w:sz w:val="19"/>
              </w:rPr>
              <w:t>37–38</w:t>
            </w:r>
          </w:p>
        </w:tc>
        <w:tc>
          <w:tcPr>
            <w:tcW w:type="dxa" w:w="8164"/>
          </w:tcPr>
          <w:p>
            <w:pPr>
              <w:keepNext w:val="0"/>
              <w:spacing w:before="40" w:after="40"/>
            </w:pPr>
            <w:r/>
            <w:r>
              <w:rPr>
                <w:rFonts w:ascii="Calibri" w:hAnsi="Calibri"/>
                <w:b w:val="0"/>
                <w:i w:val="0"/>
                <w:color w:val="000000"/>
                <w:sz w:val="19"/>
              </w:rPr>
              <w:t xml:space="preserve">Esta es la tabla de silueta de 2 a 10. La trampa: la silueta más alta, </w:t>
            </w:r>
            <w:r>
              <w:rPr>
                <w:rFonts w:ascii="Calibri" w:hAnsi="Calibri"/>
                <w:b/>
                <w:i w:val="0"/>
                <w:color w:val="000000"/>
                <w:sz w:val="19"/>
              </w:rPr>
              <w:t>0,423</w:t>
            </w:r>
            <w:r>
              <w:rPr>
                <w:rFonts w:ascii="Calibri" w:hAnsi="Calibri"/>
                <w:b w:val="0"/>
                <w:i w:val="0"/>
                <w:color w:val="000000"/>
                <w:sz w:val="19"/>
              </w:rPr>
              <w:t>, es de average, y separa un solo día contra los otros 135. Por eso agregamos una regla: ningún grupo con menos del 5 % de los días. Con ella, Ward y complete eligen k = 2, y asignamos las etiquetas con fcluster.</w:t>
            </w:r>
          </w:p>
        </w:tc>
      </w:tr>
      <w:tr>
        <w:tc>
          <w:tcPr>
            <w:tcW w:type="dxa" w:w="1134"/>
            <w:shd w:val="clear" w:color="auto" w:fill="FAFAFA"/>
          </w:tcPr>
          <w:p>
            <w:pPr>
              <w:keepNext w:val="0"/>
              <w:spacing w:before="40" w:after="40"/>
              <w:jc w:val="center"/>
            </w:pPr>
            <w:r/>
            <w:r>
              <w:rPr>
                <w:rFonts w:ascii="Calibri" w:hAnsi="Calibri"/>
                <w:b w:val="0"/>
                <w:i w:val="0"/>
                <w:color w:val="000000"/>
                <w:sz w:val="19"/>
              </w:rPr>
              <w:t>39</w:t>
            </w:r>
          </w:p>
        </w:tc>
        <w:tc>
          <w:tcPr>
            <w:tcW w:type="dxa" w:w="8164"/>
            <w:shd w:val="clear" w:color="auto" w:fill="FAFAFA"/>
          </w:tcPr>
          <w:p>
            <w:pPr>
              <w:keepNext w:val="0"/>
              <w:spacing w:before="40" w:after="40"/>
            </w:pPr>
            <w:r/>
            <w:r>
              <w:rPr>
                <w:rFonts w:ascii="Calibri" w:hAnsi="Calibri"/>
                <w:b w:val="0"/>
                <w:i w:val="0"/>
                <w:color w:val="000000"/>
                <w:sz w:val="19"/>
              </w:rPr>
              <w:t>En PCA y t-SNE, Ward y complete dibujan la misma frontera que K-Means, y los ocho días que cambian de grupo están en la zona de contacto.</w:t>
            </w:r>
          </w:p>
        </w:tc>
      </w:tr>
      <w:tr>
        <w:tc>
          <w:tcPr>
            <w:tcW w:type="dxa" w:w="1134"/>
          </w:tcPr>
          <w:p>
            <w:pPr>
              <w:keepNext w:val="0"/>
              <w:spacing w:before="40" w:after="40"/>
              <w:jc w:val="center"/>
            </w:pPr>
            <w:r/>
            <w:r>
              <w:rPr>
                <w:rFonts w:ascii="Calibri" w:hAnsi="Calibri"/>
                <w:b w:val="0"/>
                <w:i w:val="0"/>
                <w:color w:val="000000"/>
                <w:sz w:val="19"/>
              </w:rPr>
              <w:t>40–42</w:t>
            </w:r>
          </w:p>
        </w:tc>
        <w:tc>
          <w:tcPr>
            <w:tcW w:type="dxa" w:w="8164"/>
          </w:tcPr>
          <w:p>
            <w:pPr>
              <w:keepNext w:val="0"/>
              <w:spacing w:before="40" w:after="40"/>
            </w:pPr>
            <w:r/>
            <w:r>
              <w:rPr>
                <w:rFonts w:ascii="Calibri" w:hAnsi="Calibri"/>
                <w:b w:val="0"/>
                <w:i w:val="0"/>
                <w:color w:val="000000"/>
                <w:sz w:val="19"/>
              </w:rPr>
              <w:t>Los grupos describen lo mismo: un bloque diurno 2,5 veces más fuerte, más luces y el mismo calendario. Los ejemplos representativos son medoides, días reales. Y los días aislados son raros por cuándo consumen: el 24 de enero, 608 Wh a las 8 de la mañana.</w:t>
            </w:r>
          </w:p>
        </w:tc>
      </w:tr>
      <w:tr>
        <w:tc>
          <w:tcPr>
            <w:tcW w:type="dxa" w:w="1134"/>
            <w:shd w:val="clear" w:color="auto" w:fill="FAFAFA"/>
          </w:tcPr>
          <w:p>
            <w:pPr>
              <w:keepNext w:val="0"/>
              <w:spacing w:before="40" w:after="40"/>
              <w:jc w:val="center"/>
            </w:pPr>
            <w:r/>
            <w:r>
              <w:rPr>
                <w:rFonts w:ascii="Calibri" w:hAnsi="Calibri"/>
                <w:b w:val="0"/>
                <w:i w:val="0"/>
                <w:color w:val="000000"/>
                <w:sz w:val="19"/>
              </w:rPr>
              <w:t>43</w:t>
            </w:r>
          </w:p>
        </w:tc>
        <w:tc>
          <w:tcPr>
            <w:tcW w:type="dxa" w:w="8164"/>
            <w:shd w:val="clear" w:color="auto" w:fill="FAFAFA"/>
          </w:tcPr>
          <w:p>
            <w:pPr>
              <w:keepNext w:val="0"/>
              <w:spacing w:before="40" w:after="40"/>
            </w:pPr>
            <w:r/>
            <w:r>
              <w:rPr>
                <w:rFonts w:ascii="Calibri" w:hAnsi="Calibri"/>
                <w:b w:val="0"/>
                <w:i w:val="0"/>
                <w:color w:val="000000"/>
                <w:sz w:val="19"/>
              </w:rPr>
              <w:t>El árbol da algo que K-Means no da: la jerarquía. Con k = 3 aparece la mañana activa; con 4 ya no hay estructura.</w:t>
            </w:r>
          </w:p>
        </w:tc>
      </w:tr>
      <w:tr>
        <w:tc>
          <w:tcPr>
            <w:tcW w:type="dxa" w:w="1134"/>
          </w:tcPr>
          <w:p>
            <w:pPr>
              <w:keepNext w:val="0"/>
              <w:spacing w:before="40" w:after="40"/>
              <w:jc w:val="center"/>
            </w:pPr>
            <w:r/>
            <w:r>
              <w:rPr>
                <w:rFonts w:ascii="Calibri" w:hAnsi="Calibri"/>
                <w:b w:val="0"/>
                <w:i w:val="0"/>
                <w:color w:val="000000"/>
                <w:sz w:val="19"/>
              </w:rPr>
              <w:t>44</w:t>
            </w:r>
          </w:p>
        </w:tc>
        <w:tc>
          <w:tcPr>
            <w:tcW w:type="dxa" w:w="8164"/>
          </w:tcPr>
          <w:p>
            <w:pPr>
              <w:keepNext w:val="0"/>
              <w:spacing w:before="40" w:after="40"/>
            </w:pPr>
            <w:r/>
            <w:r>
              <w:rPr>
                <w:rFonts w:ascii="Calibri" w:hAnsi="Calibri"/>
                <w:b w:val="0"/>
                <w:i w:val="0"/>
                <w:color w:val="000000"/>
                <w:sz w:val="19"/>
              </w:rPr>
              <w:t xml:space="preserve">Frente a K-Means, la forma de los grupos casi no cambió: las dos técnicas ven un núcleo compacto de días normales y una periferia más dispersa de días de carga alta. El </w:t>
            </w:r>
            <w:r>
              <w:rPr>
                <w:rFonts w:ascii="Calibri" w:hAnsi="Calibri"/>
                <w:b/>
                <w:i w:val="0"/>
                <w:color w:val="000000"/>
                <w:sz w:val="19"/>
              </w:rPr>
              <w:t>94 %</w:t>
            </w:r>
            <w:r>
              <w:rPr>
                <w:rFonts w:ascii="Calibri" w:hAnsi="Calibri"/>
                <w:b w:val="0"/>
                <w:i w:val="0"/>
                <w:color w:val="000000"/>
                <w:sz w:val="19"/>
              </w:rPr>
              <w:t xml:space="preserve"> de los días conserva su grupo, y los ocho que cambian son de carga alta moderada, junto a la frontera.</w:t>
            </w:r>
          </w:p>
        </w:tc>
      </w:tr>
      <w:tr>
        <w:tc>
          <w:tcPr>
            <w:tcW w:type="dxa" w:w="1134"/>
            <w:shd w:val="clear" w:color="auto" w:fill="FAFAFA"/>
          </w:tcPr>
          <w:p>
            <w:pPr>
              <w:keepNext w:val="0"/>
              <w:spacing w:before="40" w:after="40"/>
              <w:jc w:val="center"/>
            </w:pPr>
            <w:r/>
            <w:r>
              <w:rPr>
                <w:rFonts w:ascii="Calibri" w:hAnsi="Calibri"/>
                <w:b w:val="0"/>
                <w:i w:val="0"/>
                <w:color w:val="000000"/>
                <w:sz w:val="19"/>
              </w:rPr>
              <w:t>45</w:t>
            </w:r>
          </w:p>
        </w:tc>
        <w:tc>
          <w:tcPr>
            <w:tcW w:type="dxa" w:w="8164"/>
            <w:shd w:val="clear" w:color="auto" w:fill="FAFAFA"/>
          </w:tcPr>
          <w:p>
            <w:pPr>
              <w:keepNext w:val="0"/>
              <w:spacing w:before="40" w:after="40"/>
            </w:pPr>
            <w:r/>
            <w:r>
              <w:rPr>
                <w:rFonts w:ascii="Calibri" w:hAnsi="Calibri"/>
                <w:b w:val="0"/>
                <w:i w:val="0"/>
                <w:color w:val="000000"/>
                <w:sz w:val="19"/>
              </w:rPr>
              <w:t>La prueba que decide: entrenando solo hasta abril, K-Means da el mismo reparto, mientras que el árbol de Ward cambia su primera división. Para un sistema que recibe un día nuevo cada 24 horas, eso es decisivo: la definición de «carga alta» no puede cambiar cada vez que se agrega un mes.</w:t>
            </w:r>
          </w:p>
        </w:tc>
      </w:tr>
      <w:tr>
        <w:tc>
          <w:tcPr>
            <w:tcW w:type="dxa" w:w="1134"/>
          </w:tcPr>
          <w:p>
            <w:pPr>
              <w:keepNext w:val="0"/>
              <w:spacing w:before="40" w:after="40"/>
              <w:jc w:val="center"/>
            </w:pPr>
            <w:r/>
            <w:r>
              <w:rPr>
                <w:rFonts w:ascii="Calibri" w:hAnsi="Calibri"/>
                <w:b w:val="0"/>
                <w:i w:val="0"/>
                <w:color w:val="000000"/>
                <w:sz w:val="19"/>
              </w:rPr>
              <w:t>46–47</w:t>
            </w:r>
          </w:p>
        </w:tc>
        <w:tc>
          <w:tcPr>
            <w:tcW w:type="dxa" w:w="8164"/>
          </w:tcPr>
          <w:p>
            <w:pPr>
              <w:keepNext w:val="0"/>
              <w:spacing w:before="40" w:after="40"/>
            </w:pPr>
            <w:r/>
            <w:r>
              <w:rPr>
                <w:rFonts w:ascii="Calibri" w:hAnsi="Calibri"/>
                <w:b w:val="0"/>
                <w:i w:val="0"/>
                <w:color w:val="000000"/>
                <w:sz w:val="19"/>
              </w:rPr>
              <w:t>Conclusión: K-Means asigna el tipo de día en producción y el jerárquico lo audita cada mes. Y quedan días que no encajan: Alex los busca con DBSCAN.</w:t>
            </w:r>
          </w:p>
        </w:tc>
      </w:tr>
    </w:tbl>
    <w:p>
      <w:pPr>
        <w:spacing w:after="40"/>
      </w:pPr>
    </w:p>
    <w:p>
      <w:pPr>
        <w:keepNext/>
        <w:spacing w:before="220" w:after="80"/>
      </w:pPr>
      <w:r>
        <w:rPr>
          <w:rFonts w:ascii="Calibri" w:hAnsi="Calibri"/>
          <w:b/>
          <w:i w:val="0"/>
          <w:color w:val="1F3864"/>
          <w:sz w:val="23"/>
        </w:rPr>
        <w:t>Taller 4 · DBSCAN — Alex · diapositivas 48–61 · 3:45 min</w:t>
      </w:r>
    </w:p>
    <w:tbl>
      <w:tblPr>
        <w:tblStyle w:val="TableGrid"/>
        <w:tblW w:type="auto" w:w="0"/>
        <w:jc w:val="center"/>
        <w:tblLook w:firstColumn="1" w:firstRow="1" w:lastColumn="0" w:lastRow="0" w:noHBand="0" w:noVBand="1" w:val="04A0"/>
      </w:tblPr>
      <w:tblGrid>
        <w:gridCol w:w="4873"/>
        <w:gridCol w:w="4873"/>
      </w:tblGrid>
      <w:tr>
        <w:tc>
          <w:tcPr>
            <w:tcW w:type="dxa" w:w="1134"/>
            <w:shd w:val="clear" w:color="auto" w:fill="1F3864"/>
          </w:tcPr>
          <w:p>
            <w:pPr>
              <w:keepNext w:val="0"/>
              <w:spacing w:before="40" w:after="40"/>
              <w:jc w:val="center"/>
            </w:pPr>
            <w:r/>
            <w:r>
              <w:rPr>
                <w:rFonts w:ascii="Calibri" w:hAnsi="Calibri"/>
                <w:b/>
                <w:i w:val="0"/>
                <w:color w:val="FFFFFF"/>
                <w:sz w:val="19"/>
              </w:rPr>
              <w:t>Diap.</w:t>
            </w:r>
          </w:p>
        </w:tc>
        <w:tc>
          <w:tcPr>
            <w:tcW w:type="dxa" w:w="8164"/>
            <w:shd w:val="clear" w:color="auto" w:fill="1F3864"/>
          </w:tcPr>
          <w:p>
            <w:pPr>
              <w:keepNext w:val="0"/>
              <w:spacing w:before="40" w:after="40"/>
            </w:pPr>
            <w:r/>
            <w:r>
              <w:rPr>
                <w:rFonts w:ascii="Calibri" w:hAnsi="Calibri"/>
                <w:b/>
                <w:i w:val="0"/>
                <w:color w:val="FFFFFF"/>
                <w:sz w:val="19"/>
              </w:rPr>
              <w:t>Qué decir</w:t>
            </w:r>
          </w:p>
        </w:tc>
      </w:tr>
      <w:tr>
        <w:tc>
          <w:tcPr>
            <w:tcW w:type="dxa" w:w="1134"/>
          </w:tcPr>
          <w:p>
            <w:pPr>
              <w:keepNext w:val="0"/>
              <w:spacing w:before="40" w:after="40"/>
              <w:jc w:val="center"/>
            </w:pPr>
            <w:r/>
            <w:r>
              <w:rPr>
                <w:rFonts w:ascii="Calibri" w:hAnsi="Calibri"/>
                <w:b w:val="0"/>
                <w:i w:val="0"/>
                <w:color w:val="000000"/>
                <w:sz w:val="19"/>
              </w:rPr>
              <w:t>48–49</w:t>
            </w:r>
          </w:p>
        </w:tc>
        <w:tc>
          <w:tcPr>
            <w:tcW w:type="dxa" w:w="8164"/>
          </w:tcPr>
          <w:p>
            <w:pPr>
              <w:keepNext w:val="0"/>
              <w:spacing w:before="40" w:after="40"/>
            </w:pPr>
            <w:r/>
            <w:r>
              <w:rPr>
                <w:rFonts w:ascii="Calibri" w:hAnsi="Calibri"/>
                <w:b w:val="0"/>
                <w:i w:val="0"/>
                <w:color w:val="000000"/>
                <w:sz w:val="19"/>
              </w:rPr>
              <w:t>DBSCAN no obliga a cada punto a entrar en un grupo: lo que está en baja densidad es ruido. Lo usamos en dos niveles: días, para el gemelo, y lecturas, para Guardian.</w:t>
            </w:r>
          </w:p>
        </w:tc>
      </w:tr>
      <w:tr>
        <w:tc>
          <w:tcPr>
            <w:tcW w:type="dxa" w:w="1134"/>
            <w:shd w:val="clear" w:color="auto" w:fill="FAFAFA"/>
          </w:tcPr>
          <w:p>
            <w:pPr>
              <w:keepNext w:val="0"/>
              <w:spacing w:before="40" w:after="40"/>
              <w:jc w:val="center"/>
            </w:pPr>
            <w:r/>
            <w:r>
              <w:rPr>
                <w:rFonts w:ascii="Calibri" w:hAnsi="Calibri"/>
                <w:b w:val="0"/>
                <w:i w:val="0"/>
                <w:color w:val="000000"/>
                <w:sz w:val="19"/>
              </w:rPr>
              <w:t>50</w:t>
            </w:r>
          </w:p>
        </w:tc>
        <w:tc>
          <w:tcPr>
            <w:tcW w:type="dxa" w:w="8164"/>
            <w:shd w:val="clear" w:color="auto" w:fill="FAFAFA"/>
          </w:tcPr>
          <w:p>
            <w:pPr>
              <w:keepNext w:val="0"/>
              <w:spacing w:before="40" w:after="40"/>
            </w:pPr>
            <w:r/>
            <w:r>
              <w:rPr>
                <w:rFonts w:ascii="Calibri" w:hAnsi="Calibri"/>
                <w:b w:val="0"/>
                <w:i w:val="0"/>
                <w:color w:val="000000"/>
                <w:sz w:val="19"/>
              </w:rPr>
              <w:t xml:space="preserve">Con las 24 columnas en Wh, el gráfico de k-distancias marca el codo en </w:t>
            </w:r>
            <w:r>
              <w:rPr>
                <w:rFonts w:ascii="Calibri" w:hAnsi="Calibri"/>
                <w:b/>
                <w:i w:val="0"/>
                <w:color w:val="000000"/>
                <w:sz w:val="19"/>
              </w:rPr>
              <w:t>208 Wh</w:t>
            </w:r>
            <w:r>
              <w:rPr>
                <w:rFonts w:ascii="Calibri" w:hAnsi="Calibri"/>
                <w:b w:val="0"/>
                <w:i w:val="0"/>
                <w:color w:val="000000"/>
                <w:sz w:val="19"/>
              </w:rPr>
              <w:t xml:space="preserve"> con min_samples 5, unos 42 Wh por hora.</w:t>
            </w:r>
          </w:p>
        </w:tc>
      </w:tr>
      <w:tr>
        <w:tc>
          <w:tcPr>
            <w:tcW w:type="dxa" w:w="1134"/>
          </w:tcPr>
          <w:p>
            <w:pPr>
              <w:keepNext w:val="0"/>
              <w:spacing w:before="40" w:after="40"/>
              <w:jc w:val="center"/>
            </w:pPr>
            <w:r/>
            <w:r>
              <w:rPr>
                <w:rFonts w:ascii="Calibri" w:hAnsi="Calibri"/>
                <w:b w:val="0"/>
                <w:i w:val="0"/>
                <w:color w:val="000000"/>
                <w:sz w:val="19"/>
              </w:rPr>
              <w:t>51–52</w:t>
            </w:r>
          </w:p>
        </w:tc>
        <w:tc>
          <w:tcPr>
            <w:tcW w:type="dxa" w:w="8164"/>
          </w:tcPr>
          <w:p>
            <w:pPr>
              <w:keepNext w:val="0"/>
              <w:spacing w:before="40" w:after="40"/>
            </w:pPr>
            <w:r/>
            <w:r>
              <w:rPr>
                <w:rFonts w:ascii="Calibri" w:hAnsi="Calibri"/>
                <w:b w:val="0"/>
                <w:i w:val="0"/>
                <w:color w:val="000000"/>
                <w:sz w:val="19"/>
              </w:rPr>
              <w:t xml:space="preserve">Resultado: un solo gran grupo de 82 días, y los 28 de carga alta quedan como ruido. Como dice el enunciado, separamos por grupos, y elegimos el tipo de día: con su propio eps, la carga alta sí forma grupo, pero </w:t>
            </w:r>
            <w:r>
              <w:rPr>
                <w:rFonts w:ascii="Calibri" w:hAnsi="Calibri"/>
                <w:b/>
                <w:i w:val="0"/>
                <w:color w:val="000000"/>
                <w:sz w:val="19"/>
              </w:rPr>
              <w:t>2,2 veces más disperso</w:t>
            </w:r>
            <w:r>
              <w:rPr>
                <w:rFonts w:ascii="Calibri" w:hAnsi="Calibri"/>
                <w:b w:val="0"/>
                <w:i w:val="0"/>
                <w:color w:val="000000"/>
                <w:sz w:val="19"/>
              </w:rPr>
              <w:t>. Separar por calendario no sirve.</w:t>
            </w:r>
          </w:p>
        </w:tc>
      </w:tr>
      <w:tr>
        <w:tc>
          <w:tcPr>
            <w:tcW w:type="dxa" w:w="1134"/>
            <w:shd w:val="clear" w:color="auto" w:fill="FAFAFA"/>
          </w:tcPr>
          <w:p>
            <w:pPr>
              <w:keepNext w:val="0"/>
              <w:spacing w:before="40" w:after="40"/>
              <w:jc w:val="center"/>
            </w:pPr>
            <w:r/>
            <w:r>
              <w:rPr>
                <w:rFonts w:ascii="Calibri" w:hAnsi="Calibri"/>
                <w:b w:val="0"/>
                <w:i w:val="0"/>
                <w:color w:val="000000"/>
                <w:sz w:val="19"/>
              </w:rPr>
              <w:t>53</w:t>
            </w:r>
          </w:p>
        </w:tc>
        <w:tc>
          <w:tcPr>
            <w:tcW w:type="dxa" w:w="8164"/>
            <w:shd w:val="clear" w:color="auto" w:fill="FAFAFA"/>
          </w:tcPr>
          <w:p>
            <w:pPr>
              <w:keepNext w:val="0"/>
              <w:spacing w:before="40" w:after="40"/>
            </w:pPr>
            <w:r/>
            <w:r>
              <w:rPr>
                <w:rFonts w:ascii="Calibri" w:hAnsi="Calibri"/>
                <w:b w:val="0"/>
                <w:i w:val="0"/>
                <w:color w:val="000000"/>
                <w:sz w:val="19"/>
              </w:rPr>
              <w:t>eps es el parámetro que manda; en 147 configuraciones nunca aparecen dos tipos de día.</w:t>
            </w:r>
          </w:p>
        </w:tc>
      </w:tr>
      <w:tr>
        <w:tc>
          <w:tcPr>
            <w:tcW w:type="dxa" w:w="1134"/>
          </w:tcPr>
          <w:p>
            <w:pPr>
              <w:keepNext w:val="0"/>
              <w:spacing w:before="40" w:after="40"/>
              <w:jc w:val="center"/>
            </w:pPr>
            <w:r/>
            <w:r>
              <w:rPr>
                <w:rFonts w:ascii="Calibri" w:hAnsi="Calibri"/>
                <w:b w:val="0"/>
                <w:i w:val="0"/>
                <w:color w:val="000000"/>
                <w:sz w:val="19"/>
              </w:rPr>
              <w:t>54–55</w:t>
            </w:r>
          </w:p>
        </w:tc>
        <w:tc>
          <w:tcPr>
            <w:tcW w:type="dxa" w:w="8164"/>
          </w:tcPr>
          <w:p>
            <w:pPr>
              <w:keepNext w:val="0"/>
              <w:spacing w:before="40" w:after="40"/>
            </w:pPr>
            <w:r/>
            <w:r>
              <w:rPr>
                <w:rFonts w:ascii="Calibri" w:hAnsi="Calibri"/>
                <w:b w:val="0"/>
                <w:i w:val="0"/>
                <w:color w:val="000000"/>
                <w:sz w:val="19"/>
              </w:rPr>
              <w:t>Para no depender de un solo eps, llamamos atípico robusto al día que es ruido en al menos 20 de 25 configuraciones. Son 22 días, con unas cuatro horas muy por encima de lo normal, y 8 de ellos son de enero. Se marcan, no se borran. Y en mayo solo dos días son desconocidos para el gemelo: una señal para que el agente sea conservador.</w:t>
            </w:r>
          </w:p>
        </w:tc>
      </w:tr>
      <w:tr>
        <w:tc>
          <w:tcPr>
            <w:tcW w:type="dxa" w:w="1134"/>
            <w:shd w:val="clear" w:color="auto" w:fill="FAFAFA"/>
          </w:tcPr>
          <w:p>
            <w:pPr>
              <w:keepNext w:val="0"/>
              <w:spacing w:before="40" w:after="40"/>
              <w:jc w:val="center"/>
            </w:pPr>
            <w:r/>
            <w:r>
              <w:rPr>
                <w:rFonts w:ascii="Calibri" w:hAnsi="Calibri"/>
                <w:b w:val="0"/>
                <w:i w:val="0"/>
                <w:color w:val="000000"/>
                <w:sz w:val="19"/>
              </w:rPr>
              <w:t>56–57</w:t>
            </w:r>
          </w:p>
        </w:tc>
        <w:tc>
          <w:tcPr>
            <w:tcW w:type="dxa" w:w="8164"/>
            <w:shd w:val="clear" w:color="auto" w:fill="FAFAFA"/>
          </w:tcPr>
          <w:p>
            <w:pPr>
              <w:keepNext w:val="0"/>
              <w:spacing w:before="40" w:after="40"/>
            </w:pPr>
            <w:r/>
            <w:r>
              <w:rPr>
                <w:rFonts w:ascii="Calibri" w:hAnsi="Calibri"/>
                <w:b w:val="0"/>
                <w:i w:val="0"/>
                <w:color w:val="000000"/>
                <w:sz w:val="19"/>
              </w:rPr>
              <w:t>En las lecturas, con todas las columnas DBSCAN encontraba semanas del calendario. Elegimos el consumo y sus retardos, y corregimos un artefacto: como el medidor redondea a 10 Wh, sumamos ±5 Wh de ruido.</w:t>
            </w:r>
          </w:p>
        </w:tc>
      </w:tr>
      <w:tr>
        <w:tc>
          <w:tcPr>
            <w:tcW w:type="dxa" w:w="1134"/>
          </w:tcPr>
          <w:p>
            <w:pPr>
              <w:keepNext w:val="0"/>
              <w:spacing w:before="40" w:after="40"/>
              <w:jc w:val="center"/>
            </w:pPr>
            <w:r/>
            <w:r>
              <w:rPr>
                <w:rFonts w:ascii="Calibri" w:hAnsi="Calibri"/>
                <w:b w:val="0"/>
                <w:i w:val="0"/>
                <w:color w:val="000000"/>
                <w:sz w:val="19"/>
              </w:rPr>
              <w:t>58</w:t>
            </w:r>
          </w:p>
        </w:tc>
        <w:tc>
          <w:tcPr>
            <w:tcW w:type="dxa" w:w="8164"/>
          </w:tcPr>
          <w:p>
            <w:pPr>
              <w:keepNext w:val="0"/>
              <w:spacing w:before="40" w:after="40"/>
            </w:pPr>
            <w:r/>
            <w:r>
              <w:rPr>
                <w:rFonts w:ascii="Calibri" w:hAnsi="Calibri"/>
                <w:b w:val="0"/>
                <w:i w:val="0"/>
                <w:color w:val="000000"/>
                <w:sz w:val="19"/>
              </w:rPr>
              <w:t xml:space="preserve">Separando por franja horaria aparece la </w:t>
            </w:r>
            <w:r>
              <w:rPr>
                <w:rFonts w:ascii="Calibri" w:hAnsi="Calibri"/>
                <w:b/>
                <w:i w:val="0"/>
                <w:color w:val="000000"/>
                <w:sz w:val="19"/>
              </w:rPr>
              <w:t>anomalía contextual</w:t>
            </w:r>
            <w:r>
              <w:rPr>
                <w:rFonts w:ascii="Calibri" w:hAnsi="Calibri"/>
                <w:b w:val="0"/>
                <w:i w:val="0"/>
                <w:color w:val="000000"/>
                <w:sz w:val="19"/>
              </w:rPr>
              <w:t>: de madrugada, el 86 % de lo que marca DBSCAN está por debajo de los 200 Wh del umbral, consumos modestos a horas raras; en la tarde deja pasar lo que es rutina. Y como parte del ruido son bajadas, Guardian solo alerta en las subidas.</w:t>
            </w:r>
          </w:p>
        </w:tc>
      </w:tr>
      <w:tr>
        <w:tc>
          <w:tcPr>
            <w:tcW w:type="dxa" w:w="1134"/>
            <w:shd w:val="clear" w:color="auto" w:fill="FAFAFA"/>
          </w:tcPr>
          <w:p>
            <w:pPr>
              <w:keepNext w:val="0"/>
              <w:spacing w:before="40" w:after="40"/>
              <w:jc w:val="center"/>
            </w:pPr>
            <w:r/>
            <w:r>
              <w:rPr>
                <w:rFonts w:ascii="Calibri" w:hAnsi="Calibri"/>
                <w:b w:val="0"/>
                <w:i w:val="0"/>
                <w:color w:val="000000"/>
                <w:sz w:val="19"/>
              </w:rPr>
              <w:t>59</w:t>
            </w:r>
          </w:p>
        </w:tc>
        <w:tc>
          <w:tcPr>
            <w:tcW w:type="dxa" w:w="8164"/>
            <w:shd w:val="clear" w:color="auto" w:fill="FAFAFA"/>
          </w:tcPr>
          <w:p>
            <w:pPr>
              <w:keepNext w:val="0"/>
              <w:spacing w:before="40" w:after="40"/>
            </w:pPr>
            <w:r/>
            <w:r>
              <w:rPr>
                <w:rFonts w:ascii="Calibri" w:hAnsi="Calibri"/>
                <w:b w:val="0"/>
                <w:i w:val="0"/>
                <w:color w:val="000000"/>
                <w:sz w:val="19"/>
              </w:rPr>
              <w:t>Lo decimos con honestidad: la densidad también envejece. En mayo DBSCAN marca un 33 % menos, más que el umbral.</w:t>
            </w:r>
          </w:p>
        </w:tc>
      </w:tr>
      <w:tr>
        <w:tc>
          <w:tcPr>
            <w:tcW w:type="dxa" w:w="1134"/>
          </w:tcPr>
          <w:p>
            <w:pPr>
              <w:keepNext w:val="0"/>
              <w:spacing w:before="40" w:after="40"/>
              <w:jc w:val="center"/>
            </w:pPr>
            <w:r/>
            <w:r>
              <w:rPr>
                <w:rFonts w:ascii="Calibri" w:hAnsi="Calibri"/>
                <w:b w:val="0"/>
                <w:i w:val="0"/>
                <w:color w:val="000000"/>
                <w:sz w:val="19"/>
              </w:rPr>
              <w:t>60–61</w:t>
            </w:r>
          </w:p>
        </w:tc>
        <w:tc>
          <w:tcPr>
            <w:tcW w:type="dxa" w:w="8164"/>
          </w:tcPr>
          <w:p>
            <w:pPr>
              <w:keepNext w:val="0"/>
              <w:spacing w:before="40" w:after="40"/>
            </w:pPr>
            <w:r/>
            <w:r>
              <w:rPr>
                <w:rFonts w:ascii="Calibri" w:hAnsi="Calibri"/>
                <w:b w:val="0"/>
                <w:i w:val="0"/>
                <w:color w:val="000000"/>
                <w:sz w:val="19"/>
              </w:rPr>
              <w:t>Las cuatro respuestas: un gran grupo; el ruido son la carga alta y 22 días raros; eps manda; y para el sector, incertidumbre por tipo de día y dos alarmas en Guardian.</w:t>
            </w:r>
          </w:p>
        </w:tc>
      </w:tr>
    </w:tbl>
    <w:p>
      <w:pPr>
        <w:spacing w:after="40"/>
      </w:pPr>
    </w:p>
    <w:p>
      <w:pPr>
        <w:keepNext/>
        <w:spacing w:before="220" w:after="80"/>
      </w:pPr>
      <w:r>
        <w:rPr>
          <w:rFonts w:ascii="Calibri" w:hAnsi="Calibri"/>
          <w:b/>
          <w:i w:val="0"/>
          <w:color w:val="1F3864"/>
          <w:sz w:val="23"/>
        </w:rPr>
        <w:t>Cierre — los cuatro · diapositivas 62–65 · 1:00 min</w:t>
      </w:r>
    </w:p>
    <w:tbl>
      <w:tblPr>
        <w:tblStyle w:val="TableGrid"/>
        <w:tblW w:type="auto" w:w="0"/>
        <w:jc w:val="center"/>
        <w:tblLook w:firstColumn="1" w:firstRow="1" w:lastColumn="0" w:lastRow="0" w:noHBand="0" w:noVBand="1" w:val="04A0"/>
      </w:tblPr>
      <w:tblGrid>
        <w:gridCol w:w="4873"/>
        <w:gridCol w:w="4873"/>
      </w:tblGrid>
      <w:tr>
        <w:tc>
          <w:tcPr>
            <w:tcW w:type="dxa" w:w="1134"/>
            <w:shd w:val="clear" w:color="auto" w:fill="1F3864"/>
          </w:tcPr>
          <w:p>
            <w:pPr>
              <w:keepNext w:val="0"/>
              <w:spacing w:before="40" w:after="40"/>
              <w:jc w:val="center"/>
            </w:pPr>
            <w:r/>
            <w:r>
              <w:rPr>
                <w:rFonts w:ascii="Calibri" w:hAnsi="Calibri"/>
                <w:b/>
                <w:i w:val="0"/>
                <w:color w:val="FFFFFF"/>
                <w:sz w:val="19"/>
              </w:rPr>
              <w:t>Diap.</w:t>
            </w:r>
          </w:p>
        </w:tc>
        <w:tc>
          <w:tcPr>
            <w:tcW w:type="dxa" w:w="8164"/>
            <w:shd w:val="clear" w:color="auto" w:fill="1F3864"/>
          </w:tcPr>
          <w:p>
            <w:pPr>
              <w:keepNext w:val="0"/>
              <w:spacing w:before="40" w:after="40"/>
            </w:pPr>
            <w:r/>
            <w:r>
              <w:rPr>
                <w:rFonts w:ascii="Calibri" w:hAnsi="Calibri"/>
                <w:b/>
                <w:i w:val="0"/>
                <w:color w:val="FFFFFF"/>
                <w:sz w:val="19"/>
              </w:rPr>
              <w:t>Qué decir</w:t>
            </w:r>
          </w:p>
        </w:tc>
      </w:tr>
      <w:tr>
        <w:tc>
          <w:tcPr>
            <w:tcW w:type="dxa" w:w="1134"/>
          </w:tcPr>
          <w:p>
            <w:pPr>
              <w:keepNext w:val="0"/>
              <w:spacing w:before="40" w:after="40"/>
              <w:jc w:val="center"/>
            </w:pPr>
            <w:r/>
            <w:r>
              <w:rPr>
                <w:rFonts w:ascii="Calibri" w:hAnsi="Calibri"/>
                <w:b w:val="0"/>
                <w:i w:val="0"/>
                <w:color w:val="000000"/>
                <w:sz w:val="19"/>
              </w:rPr>
              <w:t>62 · Andrés</w:t>
            </w:r>
          </w:p>
        </w:tc>
        <w:tc>
          <w:tcPr>
            <w:tcW w:type="dxa" w:w="8164"/>
          </w:tcPr>
          <w:p>
            <w:pPr>
              <w:keepNext w:val="0"/>
              <w:spacing w:before="40" w:after="40"/>
            </w:pPr>
            <w:r/>
            <w:r>
              <w:rPr>
                <w:rFonts w:ascii="Calibri" w:hAnsi="Calibri"/>
                <w:b w:val="0"/>
                <w:i w:val="0"/>
                <w:color w:val="000000"/>
                <w:sz w:val="19"/>
              </w:rPr>
              <w:t>En resumen, Shiro termina el corte con el mismo simulador y el mismo detector, pero con un estado más rico: el tipo de día con su confianza y la señal de «día desconocido». Y Guardian gana una segunda alarma.</w:t>
            </w:r>
          </w:p>
        </w:tc>
      </w:tr>
      <w:tr>
        <w:tc>
          <w:tcPr>
            <w:tcW w:type="dxa" w:w="1134"/>
            <w:shd w:val="clear" w:color="auto" w:fill="FAFAFA"/>
          </w:tcPr>
          <w:p>
            <w:pPr>
              <w:keepNext w:val="0"/>
              <w:spacing w:before="40" w:after="40"/>
              <w:jc w:val="center"/>
            </w:pPr>
            <w:r/>
            <w:r>
              <w:rPr>
                <w:rFonts w:ascii="Calibri" w:hAnsi="Calibri"/>
                <w:b w:val="0"/>
                <w:i w:val="0"/>
                <w:color w:val="000000"/>
                <w:sz w:val="19"/>
              </w:rPr>
              <w:t>63 · Sofía</w:t>
            </w:r>
          </w:p>
        </w:tc>
        <w:tc>
          <w:tcPr>
            <w:tcW w:type="dxa" w:w="8164"/>
            <w:shd w:val="clear" w:color="auto" w:fill="FAFAFA"/>
          </w:tcPr>
          <w:p>
            <w:pPr>
              <w:keepNext w:val="0"/>
              <w:spacing w:before="40" w:after="40"/>
            </w:pPr>
            <w:r/>
            <w:r>
              <w:rPr>
                <w:rFonts w:ascii="Calibri" w:hAnsi="Calibri"/>
                <w:b w:val="0"/>
                <w:i w:val="0"/>
                <w:color w:val="000000"/>
                <w:sz w:val="19"/>
              </w:rPr>
              <w:t>También adoptamos reglas de método: comparar detectores con el mismo tiempo en alerta, no elegir k solo por la métrica y corregir los datos cuantizados.</w:t>
            </w:r>
          </w:p>
        </w:tc>
      </w:tr>
      <w:tr>
        <w:tc>
          <w:tcPr>
            <w:tcW w:type="dxa" w:w="1134"/>
          </w:tcPr>
          <w:p>
            <w:pPr>
              <w:keepNext w:val="0"/>
              <w:spacing w:before="40" w:after="40"/>
              <w:jc w:val="center"/>
            </w:pPr>
            <w:r/>
            <w:r>
              <w:rPr>
                <w:rFonts w:ascii="Calibri" w:hAnsi="Calibri"/>
                <w:b w:val="0"/>
                <w:i w:val="0"/>
                <w:color w:val="000000"/>
                <w:sz w:val="19"/>
              </w:rPr>
              <w:t>64 · Jose</w:t>
            </w:r>
          </w:p>
        </w:tc>
        <w:tc>
          <w:tcPr>
            <w:tcW w:type="dxa" w:w="8164"/>
          </w:tcPr>
          <w:p>
            <w:pPr>
              <w:keepNext w:val="0"/>
              <w:spacing w:before="40" w:after="40"/>
            </w:pPr>
            <w:r/>
            <w:r>
              <w:rPr>
                <w:rFonts w:ascii="Calibri" w:hAnsi="Calibri"/>
                <w:b w:val="0"/>
                <w:i w:val="0"/>
                <w:color w:val="000000"/>
                <w:sz w:val="19"/>
              </w:rPr>
              <w:t>Ya cumplimos tres de los cinco criterios de cierre del proyecto. Lo que sigue es formalizar el MDP y entrenar el agente de Q-learning.</w:t>
            </w:r>
          </w:p>
        </w:tc>
      </w:tr>
      <w:tr>
        <w:tc>
          <w:tcPr>
            <w:tcW w:type="dxa" w:w="1134"/>
            <w:shd w:val="clear" w:color="auto" w:fill="FAFAFA"/>
          </w:tcPr>
          <w:p>
            <w:pPr>
              <w:keepNext w:val="0"/>
              <w:spacing w:before="40" w:after="40"/>
              <w:jc w:val="center"/>
            </w:pPr>
            <w:r/>
            <w:r>
              <w:rPr>
                <w:rFonts w:ascii="Calibri" w:hAnsi="Calibri"/>
                <w:b w:val="0"/>
                <w:i w:val="0"/>
                <w:color w:val="000000"/>
                <w:sz w:val="19"/>
              </w:rPr>
              <w:t>65 · Alex</w:t>
            </w:r>
          </w:p>
        </w:tc>
        <w:tc>
          <w:tcPr>
            <w:tcW w:type="dxa" w:w="8164"/>
            <w:shd w:val="clear" w:color="auto" w:fill="FAFAFA"/>
          </w:tcPr>
          <w:p>
            <w:pPr>
              <w:keepNext w:val="0"/>
              <w:spacing w:before="40" w:after="40"/>
            </w:pPr>
            <w:r/>
            <w:r>
              <w:rPr>
                <w:rFonts w:ascii="Calibri" w:hAnsi="Calibri"/>
                <w:b w:val="0"/>
                <w:i w:val="0"/>
                <w:color w:val="000000"/>
                <w:sz w:val="19"/>
              </w:rPr>
              <w:t xml:space="preserve">Gracias por su atención. </w:t>
            </w:r>
            <w:r>
              <w:rPr>
                <w:rFonts w:ascii="Calibri" w:hAnsi="Calibri"/>
                <w:b w:val="0"/>
                <w:i/>
                <w:color w:val="000000"/>
                <w:sz w:val="19"/>
              </w:rPr>
              <w:t>(Los cuatro en cámara, si se graba con video.)</w:t>
            </w:r>
          </w:p>
        </w:tc>
      </w:tr>
    </w:tbl>
    <w:p>
      <w:pPr>
        <w:spacing w:after="40"/>
      </w:pPr>
    </w:p>
    <w:p>
      <w:pPr>
        <w:keepNext/>
        <w:spacing w:before="320" w:after="140"/>
        <w:pBdr>
          <w:bottom w:val="single" w:sz="8" w:space="3" w:color="1F3864"/>
        </w:pBdr>
      </w:pPr>
      <w:r>
        <w:rPr>
          <w:rFonts w:ascii="Calibri" w:hAnsi="Calibri"/>
          <w:b/>
          <w:color w:val="1F3864"/>
          <w:sz w:val="28"/>
        </w:rPr>
        <w:t>Preguntas que podría hacer el profesor</w:t>
      </w:r>
    </w:p>
    <w:p>
      <w:pPr>
        <w:spacing w:after="100"/>
        <w:ind w:left="397" w:hanging="397"/>
        <w:jc w:val="both"/>
      </w:pPr>
      <w:r>
        <w:rPr>
          <w:b/>
          <w:color w:val="1F3864"/>
          <w:sz w:val="19"/>
        </w:rPr>
        <w:t xml:space="preserve">1.  </w:t>
      </w:r>
      <w:r>
        <w:rPr>
          <w:rFonts w:ascii="Calibri" w:hAnsi="Calibri"/>
          <w:b/>
          <w:sz w:val="19"/>
        </w:rPr>
        <w:t xml:space="preserve">¿Por qué agruparon días y no lecturas? </w:t>
      </w:r>
      <w:r>
        <w:rPr>
          <w:rFonts w:ascii="Calibri" w:hAnsi="Calibri"/>
          <w:b w:val="0"/>
          <w:i w:val="0"/>
          <w:color w:val="000000"/>
          <w:sz w:val="19"/>
        </w:rPr>
        <w:t>Porque el MDP necesita un tipo por día, y con 19.735 lecturas el índice de Dunn exige una matriz de 3,1 GB y repite lo que el árbol ya encontró (hora ≤ 7,5).</w:t>
      </w:r>
    </w:p>
    <w:p>
      <w:pPr>
        <w:spacing w:after="100"/>
        <w:ind w:left="397" w:hanging="397"/>
        <w:jc w:val="both"/>
      </w:pPr>
      <w:r>
        <w:rPr>
          <w:b/>
          <w:color w:val="1F3864"/>
          <w:sz w:val="19"/>
        </w:rPr>
        <w:t xml:space="preserve">2.  </w:t>
      </w:r>
      <w:r>
        <w:rPr>
          <w:rFonts w:ascii="Calibri" w:hAnsi="Calibri"/>
          <w:b/>
          <w:sz w:val="19"/>
        </w:rPr>
        <w:t xml:space="preserve">¿Por qué no estandarizaron, si la clase lo recomienda? </w:t>
      </w:r>
      <w:r>
        <w:rPr>
          <w:rFonts w:ascii="Calibri" w:hAnsi="Calibri"/>
          <w:b w:val="0"/>
          <w:i w:val="0"/>
          <w:color w:val="000000"/>
          <w:sz w:val="19"/>
        </w:rPr>
        <w:t>Las 24 columnas están en Wh. Estandarizar amplifica unas 16 veces el ruido de la madrugada. En K-Means da los mismos grupos con peor silueta; en el jerárquico vuelve degenerados a complete y average.</w:t>
      </w:r>
    </w:p>
    <w:p>
      <w:pPr>
        <w:spacing w:after="100"/>
        <w:ind w:left="397" w:hanging="397"/>
        <w:jc w:val="both"/>
      </w:pPr>
      <w:r>
        <w:rPr>
          <w:b/>
          <w:color w:val="1F3864"/>
          <w:sz w:val="19"/>
        </w:rPr>
        <w:t xml:space="preserve">3.  </w:t>
      </w:r>
      <w:r>
        <w:rPr>
          <w:rFonts w:ascii="Calibri" w:hAnsi="Calibri"/>
          <w:b/>
          <w:sz w:val="19"/>
        </w:rPr>
        <w:t xml:space="preserve">¿Por qué el boosting gana en las métricas y no lo eligen? </w:t>
      </w:r>
      <w:r>
        <w:rPr>
          <w:rFonts w:ascii="Calibri" w:hAnsi="Calibri"/>
          <w:b w:val="0"/>
          <w:i w:val="0"/>
          <w:color w:val="000000"/>
          <w:sz w:val="19"/>
        </w:rPr>
        <w:t>Porque con el mismo tiempo en alerta detecta lo mismo que Random Forest, pero con más avisos y más avisos falsos, que es lo que vive la persona.</w:t>
      </w:r>
    </w:p>
    <w:p>
      <w:pPr>
        <w:spacing w:after="100"/>
        <w:ind w:left="397" w:hanging="397"/>
        <w:jc w:val="both"/>
      </w:pPr>
      <w:r>
        <w:rPr>
          <w:b/>
          <w:color w:val="1F3864"/>
          <w:sz w:val="19"/>
        </w:rPr>
        <w:t xml:space="preserve">4.  </w:t>
      </w:r>
      <w:r>
        <w:rPr>
          <w:rFonts w:ascii="Calibri" w:hAnsi="Calibri"/>
          <w:b/>
          <w:sz w:val="19"/>
        </w:rPr>
        <w:t xml:space="preserve">Si average tiene la mejor silueta, ¿por qué no la eligen? </w:t>
      </w:r>
      <w:r>
        <w:rPr>
          <w:rFonts w:ascii="Calibri" w:hAnsi="Calibri"/>
          <w:b w:val="0"/>
          <w:i w:val="0"/>
          <w:color w:val="000000"/>
          <w:sz w:val="19"/>
        </w:rPr>
        <w:t>Porque separa un solo día. Un tipo de día con un ejemplar no lo aprende el agente: por eso la regla del 5 % de tamaño mínimo.</w:t>
      </w:r>
    </w:p>
    <w:p>
      <w:pPr>
        <w:spacing w:after="100"/>
        <w:ind w:left="397" w:hanging="397"/>
        <w:jc w:val="both"/>
      </w:pPr>
      <w:r>
        <w:rPr>
          <w:b/>
          <w:color w:val="1F3864"/>
          <w:sz w:val="19"/>
        </w:rPr>
        <w:t xml:space="preserve">5.  </w:t>
      </w:r>
      <w:r>
        <w:rPr>
          <w:rFonts w:ascii="Calibri" w:hAnsi="Calibri"/>
          <w:b/>
          <w:sz w:val="19"/>
        </w:rPr>
        <w:t xml:space="preserve">¿DBSCAN reemplaza al umbral de 200 Wh? </w:t>
      </w:r>
      <w:r>
        <w:rPr>
          <w:rFonts w:ascii="Calibri" w:hAnsi="Calibri"/>
          <w:b w:val="0"/>
          <w:i w:val="0"/>
          <w:color w:val="000000"/>
          <w:sz w:val="19"/>
        </w:rPr>
        <w:t>No: lo complementa. El umbral mide magnitud; DBSCAN, rareza para la hora. Y ninguno de los dos es inmune a la estación: ambos se reajustan cada mes.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