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555555"/>
          <w:sz w:val="19"/>
        </w:rPr>
        <w:t>APRENDIZAJE DE MÁQUINA · CORTE 2 · TALLER 2</w:t>
      </w:r>
    </w:p>
    <w:p>
      <w:pPr>
        <w:spacing w:after="40"/>
      </w:pPr>
      <w:r>
        <w:rPr>
          <w:rFonts w:ascii="Calibri" w:hAnsi="Calibri"/>
          <w:b/>
          <w:color w:val="1F3864"/>
          <w:sz w:val="38"/>
        </w:rPr>
        <w:t>K-Means — los tipos de día de Shiro Twin</w:t>
      </w:r>
    </w:p>
    <w:p>
      <w:pPr>
        <w:spacing w:before="0" w:after="200"/>
      </w:pPr>
      <w:r>
        <w:rPr>
          <w:rFonts w:ascii="Calibri" w:hAnsi="Calibri"/>
          <w:b w:val="0"/>
          <w:i w:val="0"/>
          <w:color w:val="555555"/>
          <w:sz w:val="22"/>
        </w:rPr>
        <w:t>Aplicación de K-Means y estimación del número de clústers sobre el consumo de un hogar</w:t>
      </w:r>
    </w:p>
    <w:tbl>
      <w:tblPr>
        <w:tblStyle w:val="TableGrid"/>
        <w:tblW w:type="auto" w:w="0"/>
        <w:jc w:val="center"/>
        <w:tblLook w:firstColumn="1" w:firstRow="1" w:lastColumn="0" w:lastRow="0" w:noHBand="0" w:noVBand="1" w:val="04A0"/>
      </w:tblPr>
      <w:tblGrid>
        <w:gridCol w:w="4873"/>
        <w:gridCol w:w="4873"/>
      </w:tblGrid>
      <w:tr>
        <w:tc>
          <w:tcPr>
            <w:tcW w:type="dxa" w:w="2041"/>
            <w:shd w:val="clear" w:color="auto" w:fill="1F3864"/>
          </w:tcPr>
          <w:p>
            <w:pPr>
              <w:spacing w:before="40" w:after="40"/>
            </w:pPr>
            <w:r/>
            <w:r>
              <w:rPr>
                <w:rFonts w:ascii="Calibri" w:hAnsi="Calibri"/>
                <w:b/>
                <w:i w:val="0"/>
                <w:color w:val="FFFFFF"/>
                <w:sz w:val="18"/>
              </w:rPr>
              <w:t>Campo</w:t>
            </w:r>
          </w:p>
        </w:tc>
        <w:tc>
          <w:tcPr>
            <w:tcW w:type="dxa" w:w="7143"/>
            <w:shd w:val="clear" w:color="auto" w:fill="1F3864"/>
          </w:tcPr>
          <w:p>
            <w:pPr>
              <w:spacing w:before="40" w:after="40"/>
            </w:pPr>
            <w:r/>
            <w:r>
              <w:rPr>
                <w:rFonts w:ascii="Calibri" w:hAnsi="Calibri"/>
                <w:b/>
                <w:i w:val="0"/>
                <w:color w:val="FFFFFF"/>
                <w:sz w:val="18"/>
              </w:rPr>
              <w:t>Valor</w:t>
            </w:r>
          </w:p>
        </w:tc>
      </w:tr>
      <w:tr>
        <w:tc>
          <w:tcPr>
            <w:tcW w:type="dxa" w:w="2041"/>
          </w:tcPr>
          <w:p>
            <w:pPr>
              <w:spacing w:before="40" w:after="40"/>
            </w:pPr>
            <w:r/>
            <w:r>
              <w:rPr>
                <w:rFonts w:ascii="Calibri" w:hAnsi="Calibri"/>
                <w:b w:val="0"/>
                <w:i w:val="0"/>
                <w:color w:val="000000"/>
                <w:sz w:val="18"/>
              </w:rPr>
              <w:t>Grupo</w:t>
            </w:r>
          </w:p>
        </w:tc>
        <w:tc>
          <w:tcPr>
            <w:tcW w:type="dxa" w:w="7143"/>
          </w:tcPr>
          <w:p>
            <w:pPr>
              <w:spacing w:before="40" w:after="40"/>
            </w:pPr>
            <w:r/>
            <w:r>
              <w:rPr>
                <w:rFonts w:ascii="Calibri" w:hAnsi="Calibri"/>
                <w:b w:val="0"/>
                <w:i w:val="0"/>
                <w:color w:val="000000"/>
                <w:sz w:val="18"/>
              </w:rPr>
              <w:t>Shiro — Jose Leonardo Diazgranados, Sofía Londoño, Andrés Felipe Céspedes Rondón, Alex Duran</w:t>
            </w:r>
          </w:p>
        </w:tc>
      </w:tr>
      <w:tr>
        <w:tc>
          <w:tcPr>
            <w:tcW w:type="dxa" w:w="2041"/>
            <w:shd w:val="clear" w:color="auto" w:fill="FAFAFA"/>
          </w:tcPr>
          <w:p>
            <w:pPr>
              <w:spacing w:before="40" w:after="40"/>
            </w:pPr>
            <w:r/>
            <w:r>
              <w:rPr>
                <w:rFonts w:ascii="Calibri" w:hAnsi="Calibri"/>
                <w:b w:val="0"/>
                <w:i w:val="0"/>
                <w:color w:val="000000"/>
                <w:sz w:val="18"/>
              </w:rPr>
              <w:t>Sector</w:t>
            </w:r>
          </w:p>
        </w:tc>
        <w:tc>
          <w:tcPr>
            <w:tcW w:type="dxa" w:w="7143"/>
            <w:shd w:val="clear" w:color="auto" w:fill="FAFAFA"/>
          </w:tcPr>
          <w:p>
            <w:pPr>
              <w:spacing w:before="40" w:after="40"/>
            </w:pPr>
            <w:r/>
            <w:r>
              <w:rPr>
                <w:rFonts w:ascii="Calibri" w:hAnsi="Calibri"/>
                <w:b w:val="0"/>
                <w:i w:val="0"/>
                <w:color w:val="000000"/>
                <w:sz w:val="18"/>
              </w:rPr>
              <w:t>Energía y Medio Ambiente / IoT</w:t>
            </w:r>
          </w:p>
        </w:tc>
      </w:tr>
      <w:tr>
        <w:tc>
          <w:tcPr>
            <w:tcW w:type="dxa" w:w="2041"/>
          </w:tcPr>
          <w:p>
            <w:pPr>
              <w:spacing w:before="40" w:after="40"/>
            </w:pPr>
            <w:r/>
            <w:r>
              <w:rPr>
                <w:rFonts w:ascii="Calibri" w:hAnsi="Calibri"/>
                <w:b w:val="0"/>
                <w:i w:val="0"/>
                <w:color w:val="000000"/>
                <w:sz w:val="18"/>
              </w:rPr>
              <w:t>Docente</w:t>
            </w:r>
          </w:p>
        </w:tc>
        <w:tc>
          <w:tcPr>
            <w:tcW w:type="dxa" w:w="7143"/>
          </w:tcPr>
          <w:p>
            <w:pPr>
              <w:spacing w:before="40" w:after="40"/>
            </w:pPr>
            <w:r/>
            <w:r>
              <w:rPr>
                <w:rFonts w:ascii="Calibri" w:hAnsi="Calibri"/>
                <w:b w:val="0"/>
                <w:i w:val="0"/>
                <w:color w:val="000000"/>
                <w:sz w:val="18"/>
              </w:rPr>
              <w:t>Hernán Darío Cruz Bueno</w:t>
            </w:r>
          </w:p>
        </w:tc>
      </w:tr>
      <w:tr>
        <w:tc>
          <w:tcPr>
            <w:tcW w:type="dxa" w:w="2041"/>
            <w:shd w:val="clear" w:color="auto" w:fill="FAFAFA"/>
          </w:tcPr>
          <w:p>
            <w:pPr>
              <w:spacing w:before="40" w:after="40"/>
            </w:pPr>
            <w:r/>
            <w:r>
              <w:rPr>
                <w:rFonts w:ascii="Calibri" w:hAnsi="Calibri"/>
                <w:b w:val="0"/>
                <w:i w:val="0"/>
                <w:color w:val="000000"/>
                <w:sz w:val="18"/>
              </w:rPr>
              <w:t>Dataset</w:t>
            </w:r>
          </w:p>
        </w:tc>
        <w:tc>
          <w:tcPr>
            <w:tcW w:type="dxa" w:w="7143"/>
            <w:shd w:val="clear" w:color="auto" w:fill="FAFAFA"/>
          </w:tcPr>
          <w:p>
            <w:pPr>
              <w:spacing w:before="40" w:after="40"/>
            </w:pPr>
            <w:r/>
            <w:r>
              <w:rPr>
                <w:rFonts w:ascii="Calibri" w:hAnsi="Calibri"/>
                <w:b w:val="0"/>
                <w:i w:val="0"/>
                <w:color w:val="000000"/>
                <w:sz w:val="18"/>
              </w:rPr>
              <w:t>Appliances Energy Prediction (UCI #374) — 136 días completos</w:t>
            </w:r>
          </w:p>
        </w:tc>
      </w:tr>
      <w:tr>
        <w:tc>
          <w:tcPr>
            <w:tcW w:type="dxa" w:w="2041"/>
          </w:tcPr>
          <w:p>
            <w:pPr>
              <w:spacing w:before="40" w:after="40"/>
            </w:pPr>
            <w:r/>
            <w:r>
              <w:rPr>
                <w:rFonts w:ascii="Calibri" w:hAnsi="Calibri"/>
                <w:b w:val="0"/>
                <w:i w:val="0"/>
                <w:color w:val="000000"/>
                <w:sz w:val="18"/>
              </w:rPr>
              <w:t>Cuaderno</w:t>
            </w:r>
          </w:p>
        </w:tc>
        <w:tc>
          <w:tcPr>
            <w:tcW w:type="dxa" w:w="7143"/>
          </w:tcPr>
          <w:p>
            <w:pPr>
              <w:spacing w:before="40" w:after="40"/>
            </w:pPr>
            <w:r/>
            <w:r>
              <w:rPr>
                <w:rFonts w:ascii="Calibri" w:hAnsi="Calibri"/>
                <w:b w:val="0"/>
                <w:i w:val="0"/>
                <w:color w:val="000000"/>
                <w:sz w:val="18"/>
              </w:rPr>
              <w:t>Taller2_KMeans.ipynb — ejecutado de principio a fin; toda cifra sale de aquí</w:t>
            </w:r>
          </w:p>
        </w:tc>
      </w:tr>
      <w:tr>
        <w:tc>
          <w:tcPr>
            <w:tcW w:type="dxa" w:w="2041"/>
            <w:shd w:val="clear" w:color="auto" w:fill="FAFAFA"/>
          </w:tcPr>
          <w:p>
            <w:pPr>
              <w:spacing w:before="40" w:after="40"/>
            </w:pPr>
            <w:r/>
            <w:r>
              <w:rPr>
                <w:rFonts w:ascii="Calibri" w:hAnsi="Calibri"/>
                <w:b w:val="0"/>
                <w:i w:val="0"/>
                <w:color w:val="000000"/>
                <w:sz w:val="18"/>
              </w:rPr>
              <w:t>Técnicas</w:t>
            </w:r>
          </w:p>
        </w:tc>
        <w:tc>
          <w:tcPr>
            <w:tcW w:type="dxa" w:w="7143"/>
            <w:shd w:val="clear" w:color="auto" w:fill="FAFAFA"/>
          </w:tcPr>
          <w:p>
            <w:pPr>
              <w:spacing w:before="40" w:after="40"/>
            </w:pPr>
            <w:r/>
            <w:r>
              <w:rPr>
                <w:rFonts w:ascii="Calibri" w:hAnsi="Calibri"/>
                <w:b w:val="0"/>
                <w:i w:val="0"/>
                <w:color w:val="000000"/>
                <w:sz w:val="18"/>
              </w:rPr>
              <w:t>K-Means (k = 2…10) · Jerárquico Ward · PCA · t-SNE</w:t>
            </w:r>
          </w:p>
        </w:tc>
      </w:tr>
      <w:tr>
        <w:tc>
          <w:tcPr>
            <w:tcW w:type="dxa" w:w="2041"/>
          </w:tcPr>
          <w:p>
            <w:pPr>
              <w:spacing w:before="40" w:after="40"/>
            </w:pPr>
            <w:r/>
            <w:r>
              <w:rPr>
                <w:rFonts w:ascii="Calibri" w:hAnsi="Calibri"/>
                <w:b w:val="0"/>
                <w:i w:val="0"/>
                <w:color w:val="000000"/>
                <w:sz w:val="18"/>
              </w:rPr>
              <w:t>Fecha</w:t>
            </w:r>
          </w:p>
        </w:tc>
        <w:tc>
          <w:tcPr>
            <w:tcW w:type="dxa" w:w="7143"/>
          </w:tcPr>
          <w:p>
            <w:pPr>
              <w:spacing w:before="40" w:after="40"/>
            </w:pPr>
            <w:r/>
            <w:r>
              <w:rPr>
                <w:rFonts w:ascii="Calibri" w:hAnsi="Calibri"/>
                <w:b w:val="0"/>
                <w:i w:val="0"/>
                <w:color w:val="000000"/>
                <w:sz w:val="18"/>
              </w:rPr>
              <w:t>23 de septiembre de 2026</w:t>
            </w:r>
          </w:p>
        </w:tc>
      </w:tr>
    </w:tbl>
    <w:p>
      <w:pPr>
        <w:spacing w:after="40"/>
      </w:pPr>
    </w:p>
    <w:p>
      <w:pPr>
        <w:keepNext/>
        <w:spacing w:before="320" w:after="140"/>
        <w:pBdr>
          <w:bottom w:val="single" w:sz="8" w:space="3" w:color="1F3864"/>
        </w:pBdr>
      </w:pPr>
      <w:r>
        <w:rPr>
          <w:rFonts w:ascii="Calibri" w:hAnsi="Calibri"/>
          <w:b/>
          <w:color w:val="1F3864"/>
          <w:sz w:val="28"/>
        </w:rPr>
        <w:t>Qué componente de Shiro construye este taller</w:t>
      </w:r>
    </w:p>
    <w:p>
      <w:pPr>
        <w:spacing w:before="0" w:after="120"/>
        <w:jc w:val="both"/>
      </w:pPr>
      <w:r>
        <w:rPr>
          <w:rFonts w:ascii="Calibri" w:hAnsi="Calibri"/>
          <w:b w:val="0"/>
          <w:i w:val="0"/>
          <w:color w:val="000000"/>
          <w:sz w:val="19"/>
        </w:rPr>
        <w:t xml:space="preserve">El agente de refuerzo de Shiro Twin decide cada 10 minutos qué hacer con la casa, y decide sobre un </w:t>
      </w:r>
      <w:r>
        <w:rPr>
          <w:rFonts w:ascii="Calibri" w:hAnsi="Calibri"/>
          <w:b/>
          <w:i w:val="0"/>
          <w:color w:val="000000"/>
          <w:sz w:val="19"/>
        </w:rPr>
        <w:t>estado</w:t>
      </w:r>
      <w:r>
        <w:rPr>
          <w:rFonts w:ascii="Calibri" w:hAnsi="Calibri"/>
          <w:b w:val="0"/>
          <w:i w:val="0"/>
          <w:color w:val="000000"/>
          <w:sz w:val="19"/>
        </w:rPr>
        <w:t>. La propuesta del proyecto anunciaba que los perfiles de rutina «alimentan al agente como variables de estado», pero esa variable no existía. Este taller la construye.</w:t>
      </w:r>
    </w:p>
    <w:tbl>
      <w:tblPr>
        <w:tblStyle w:val="TableGrid"/>
        <w:tblW w:type="auto" w:w="0"/>
        <w:jc w:val="center"/>
        <w:tblLook w:firstColumn="1" w:firstRow="1" w:lastColumn="0" w:lastRow="0" w:noHBand="0" w:noVBand="1" w:val="04A0"/>
      </w:tblPr>
      <w:tblGrid>
        <w:gridCol w:w="4873"/>
        <w:gridCol w:w="4873"/>
      </w:tblGrid>
      <w:tr>
        <w:tc>
          <w:tcPr>
            <w:tcW w:type="dxa" w:w="6350"/>
            <w:shd w:val="clear" w:color="auto" w:fill="1F3864"/>
          </w:tcPr>
          <w:p>
            <w:pPr>
              <w:spacing w:before="40" w:after="40"/>
            </w:pPr>
            <w:r/>
            <w:r>
              <w:rPr>
                <w:rFonts w:ascii="Calibri" w:hAnsi="Calibri"/>
                <w:b/>
                <w:i w:val="0"/>
                <w:color w:val="FFFFFF"/>
                <w:sz w:val="18"/>
              </w:rPr>
              <w:t>Decisión del MDP que depende de este taller</w:t>
            </w:r>
          </w:p>
        </w:tc>
        <w:tc>
          <w:tcPr>
            <w:tcW w:type="dxa" w:w="2835"/>
            <w:shd w:val="clear" w:color="auto" w:fill="1F3864"/>
          </w:tcPr>
          <w:p>
            <w:pPr>
              <w:spacing w:before="40" w:after="40"/>
            </w:pPr>
            <w:r/>
            <w:r>
              <w:rPr>
                <w:rFonts w:ascii="Calibri" w:hAnsi="Calibri"/>
                <w:b/>
                <w:i w:val="0"/>
                <w:color w:val="FFFFFF"/>
                <w:sz w:val="18"/>
              </w:rPr>
              <w:t>Dónde se resuelve</w:t>
            </w:r>
          </w:p>
        </w:tc>
      </w:tr>
      <w:tr>
        <w:tc>
          <w:tcPr>
            <w:tcW w:type="dxa" w:w="6350"/>
          </w:tcPr>
          <w:p>
            <w:pPr>
              <w:spacing w:before="40" w:after="40"/>
            </w:pPr>
            <w:r/>
            <w:r>
              <w:rPr>
                <w:rFonts w:ascii="Calibri" w:hAnsi="Calibri"/>
                <w:b w:val="0"/>
                <w:i w:val="0"/>
                <w:color w:val="000000"/>
                <w:sz w:val="18"/>
              </w:rPr>
              <w:t>¿Cuántos tipos de día tiene el estado? Cada tipo multiplica la tabla Q</w:t>
            </w:r>
          </w:p>
        </w:tc>
        <w:tc>
          <w:tcPr>
            <w:tcW w:type="dxa" w:w="2835"/>
          </w:tcPr>
          <w:p>
            <w:pPr>
              <w:spacing w:before="40" w:after="40"/>
            </w:pPr>
            <w:r/>
            <w:r>
              <w:rPr>
                <w:rFonts w:ascii="Calibri" w:hAnsi="Calibri"/>
                <w:b w:val="0"/>
                <w:i w:val="0"/>
                <w:color w:val="000000"/>
                <w:sz w:val="18"/>
              </w:rPr>
              <w:t>Punto 1 — elección de k</w:t>
            </w:r>
          </w:p>
        </w:tc>
      </w:tr>
      <w:tr>
        <w:tc>
          <w:tcPr>
            <w:tcW w:type="dxa" w:w="6350"/>
            <w:shd w:val="clear" w:color="auto" w:fill="FAFAFA"/>
          </w:tcPr>
          <w:p>
            <w:pPr>
              <w:spacing w:before="40" w:after="40"/>
            </w:pPr>
            <w:r/>
            <w:r>
              <w:rPr>
                <w:rFonts w:ascii="Calibri" w:hAnsi="Calibri"/>
                <w:b w:val="0"/>
                <w:i w:val="0"/>
                <w:color w:val="000000"/>
                <w:sz w:val="18"/>
              </w:rPr>
              <w:t>¿Basta con el calendario (es_fin_semana) o hace falta un modelo?</w:t>
            </w:r>
          </w:p>
        </w:tc>
        <w:tc>
          <w:tcPr>
            <w:tcW w:type="dxa" w:w="2835"/>
            <w:shd w:val="clear" w:color="auto" w:fill="FAFAFA"/>
          </w:tcPr>
          <w:p>
            <w:pPr>
              <w:spacing w:before="40" w:after="40"/>
            </w:pPr>
            <w:r/>
            <w:r>
              <w:rPr>
                <w:rFonts w:ascii="Calibri" w:hAnsi="Calibri"/>
                <w:b w:val="0"/>
                <w:i w:val="0"/>
                <w:color w:val="000000"/>
                <w:sz w:val="18"/>
              </w:rPr>
              <w:t>Punto 3 — caracterización</w:t>
            </w:r>
          </w:p>
        </w:tc>
      </w:tr>
      <w:tr>
        <w:tc>
          <w:tcPr>
            <w:tcW w:type="dxa" w:w="6350"/>
          </w:tcPr>
          <w:p>
            <w:pPr>
              <w:spacing w:before="40" w:after="40"/>
            </w:pPr>
            <w:r/>
            <w:r>
              <w:rPr>
                <w:rFonts w:ascii="Calibri" w:hAnsi="Calibri"/>
                <w:b w:val="0"/>
                <w:i w:val="0"/>
                <w:color w:val="000000"/>
                <w:sz w:val="18"/>
              </w:rPr>
              <w:t>¿En qué momento del día sabe el agente qué tipo de día está viviendo?</w:t>
            </w:r>
          </w:p>
        </w:tc>
        <w:tc>
          <w:tcPr>
            <w:tcW w:type="dxa" w:w="2835"/>
          </w:tcPr>
          <w:p>
            <w:pPr>
              <w:spacing w:before="40" w:after="40"/>
            </w:pPr>
            <w:r/>
            <w:r>
              <w:rPr>
                <w:rFonts w:ascii="Calibri" w:hAnsi="Calibri"/>
                <w:b w:val="0"/>
                <w:i w:val="0"/>
                <w:color w:val="000000"/>
                <w:sz w:val="18"/>
              </w:rPr>
              <w:t>§7 — observabilidad (pregunta propia)</w:t>
            </w:r>
          </w:p>
        </w:tc>
      </w:tr>
    </w:tbl>
    <w:p>
      <w:pPr>
        <w:spacing w:after="40"/>
      </w:pPr>
    </w:p>
    <w:p>
      <w:pPr>
        <w:keepNext/>
        <w:spacing w:before="160" w:after="60"/>
      </w:pPr>
      <w:r>
        <w:rPr>
          <w:rFonts w:ascii="Calibri" w:hAnsi="Calibri"/>
          <w:b/>
          <w:i w:val="0"/>
          <w:color w:val="555555"/>
          <w:sz w:val="20"/>
        </w:rPr>
        <w:t>La decisión previa: se agrupan días, no lecturas</w:t>
      </w:r>
    </w:p>
    <w:p>
      <w:pPr>
        <w:spacing w:before="0" w:after="120"/>
        <w:jc w:val="both"/>
      </w:pPr>
      <w:r>
        <w:rPr>
          <w:rFonts w:ascii="Calibri" w:hAnsi="Calibri"/>
          <w:b w:val="0"/>
          <w:i w:val="0"/>
          <w:color w:val="000000"/>
          <w:sz w:val="19"/>
        </w:rPr>
        <w:t xml:space="preserve">El enunciado pide aplicar K-Means «sobre su contexto». Agrupar las 19.735 lecturas de 10 minutos reproduciría regímenes de hora y temperatura que el árbol del Taller 2 ya encontró (hora ≤ 7,5), y el índice de Dunn con la función vista en clase exigiría una matriz de distancias de </w:t>
      </w:r>
      <w:r>
        <w:rPr>
          <w:rFonts w:ascii="Calibri" w:hAnsi="Calibri"/>
          <w:b/>
          <w:i w:val="0"/>
          <w:color w:val="000000"/>
          <w:sz w:val="19"/>
        </w:rPr>
        <w:t>3,1 GB</w:t>
      </w:r>
      <w:r>
        <w:rPr>
          <w:rFonts w:ascii="Calibri" w:hAnsi="Calibri"/>
          <w:b w:val="0"/>
          <w:i w:val="0"/>
          <w:color w:val="000000"/>
          <w:sz w:val="19"/>
        </w:rPr>
        <w:t xml:space="preserve">. Agrupar </w:t>
      </w:r>
      <w:r>
        <w:rPr>
          <w:rFonts w:ascii="Calibri" w:hAnsi="Calibri"/>
          <w:b/>
          <w:i w:val="0"/>
          <w:color w:val="000000"/>
          <w:sz w:val="19"/>
        </w:rPr>
        <w:t>días</w:t>
      </w:r>
      <w:r>
        <w:rPr>
          <w:rFonts w:ascii="Calibri" w:hAnsi="Calibri"/>
          <w:b w:val="0"/>
          <w:i w:val="0"/>
          <w:color w:val="000000"/>
          <w:sz w:val="19"/>
        </w:rPr>
        <w:t xml:space="preserve"> —cada uno como su curva de consumo de 24 horas— produce exactamente lo que el MDP necesita: tipos de día. Se usan los </w:t>
      </w:r>
      <w:r>
        <w:rPr>
          <w:rFonts w:ascii="Calibri" w:hAnsi="Calibri"/>
          <w:b/>
          <w:i w:val="0"/>
          <w:color w:val="000000"/>
          <w:sz w:val="19"/>
        </w:rPr>
        <w:t>136 días completos</w:t>
      </w:r>
      <w:r>
        <w:rPr>
          <w:rFonts w:ascii="Calibri" w:hAnsi="Calibri"/>
          <w:b w:val="0"/>
          <w:i w:val="0"/>
          <w:color w:val="000000"/>
          <w:sz w:val="19"/>
        </w:rPr>
        <w:t xml:space="preserve"> (el 11 de enero y el 27 de mayo tienen lecturas parciales y se descartan).</w:t>
      </w:r>
    </w:p>
    <w:p>
      <w:pPr>
        <w:keepNext/>
        <w:spacing w:before="120" w:after="40"/>
        <w:jc w:val="center"/>
      </w:pPr>
      <w:r>
        <w:drawing>
          <wp:inline xmlns:a="http://schemas.openxmlformats.org/drawingml/2006/main" xmlns:pic="http://schemas.openxmlformats.org/drawingml/2006/picture">
            <wp:extent cx="5760000" cy="2360265"/>
            <wp:docPr id="1" name="Picture 1"/>
            <wp:cNvGraphicFramePr>
              <a:graphicFrameLocks noChangeAspect="1"/>
            </wp:cNvGraphicFramePr>
            <a:graphic>
              <a:graphicData uri="http://schemas.openxmlformats.org/drawingml/2006/picture">
                <pic:pic>
                  <pic:nvPicPr>
                    <pic:cNvPr id="0" name="K1_mapa_dias.png"/>
                    <pic:cNvPicPr/>
                  </pic:nvPicPr>
                  <pic:blipFill>
                    <a:blip r:embed="rId9"/>
                    <a:stretch>
                      <a:fillRect/>
                    </a:stretch>
                  </pic:blipFill>
                  <pic:spPr>
                    <a:xfrm>
                      <a:off x="0" y="0"/>
                      <a:ext cx="5760000" cy="2360265"/>
                    </a:xfrm>
                    <a:prstGeom prst="rect"/>
                  </pic:spPr>
                </pic:pic>
              </a:graphicData>
            </a:graphic>
          </wp:inline>
        </w:drawing>
      </w:r>
    </w:p>
    <w:p>
      <w:pPr>
        <w:spacing w:before="0" w:after="200"/>
        <w:jc w:val="center"/>
      </w:pPr>
      <w:r>
        <w:rPr>
          <w:rFonts w:ascii="Calibri" w:hAnsi="Calibri"/>
          <w:b w:val="0"/>
          <w:i/>
          <w:color w:val="666666"/>
          <w:sz w:val="17"/>
        </w:rPr>
        <w:t>Figura 1. Los 136 días, uno por fila. Las madrugadas son idénticas todos los días; la franja de 17–19 h se enciende casi siempre; algunos días se encienden además durante todo el día.</w:t>
      </w:r>
    </w:p>
    <w:p>
      <w:pPr>
        <w:keepNext/>
        <w:spacing w:before="160" w:after="60"/>
      </w:pPr>
      <w:r>
        <w:rPr>
          <w:rFonts w:ascii="Calibri" w:hAnsi="Calibri"/>
          <w:b/>
          <w:i w:val="0"/>
          <w:color w:val="555555"/>
          <w:sz w:val="20"/>
        </w:rPr>
        <w:t>Una desviación deliberada de la receta de clase: no se estandariza por columna</w:t>
      </w:r>
    </w:p>
    <w:p>
      <w:pPr>
        <w:spacing w:before="0" w:after="120"/>
        <w:jc w:val="both"/>
      </w:pPr>
      <w:r>
        <w:rPr>
          <w:rFonts w:ascii="Calibri" w:hAnsi="Calibri"/>
          <w:b w:val="0"/>
          <w:i w:val="0"/>
          <w:color w:val="000000"/>
          <w:sz w:val="19"/>
        </w:rPr>
        <w:t xml:space="preserve">La diapositiva 57 recomienda StandardScaler antes de K-Means; esa receta existe para variables en unidades distintas. Aquí las 24 columnas están todas en Wh, y su varianza va de </w:t>
      </w:r>
      <w:r>
        <w:rPr>
          <w:rFonts w:ascii="Calibri" w:hAnsi="Calibri"/>
          <w:b/>
          <w:i w:val="0"/>
          <w:color w:val="000000"/>
          <w:sz w:val="19"/>
        </w:rPr>
        <w:t>50</w:t>
      </w:r>
      <w:r>
        <w:rPr>
          <w:rFonts w:ascii="Calibri" w:hAnsi="Calibri"/>
          <w:b w:val="0"/>
          <w:i w:val="0"/>
          <w:color w:val="000000"/>
          <w:sz w:val="19"/>
        </w:rPr>
        <w:t xml:space="preserve"> (4 a. m.) a </w:t>
      </w:r>
      <w:r>
        <w:rPr>
          <w:rFonts w:ascii="Calibri" w:hAnsi="Calibri"/>
          <w:b/>
          <w:i w:val="0"/>
          <w:color w:val="000000"/>
          <w:sz w:val="19"/>
        </w:rPr>
        <w:t>12.477</w:t>
      </w:r>
      <w:r>
        <w:rPr>
          <w:rFonts w:ascii="Calibri" w:hAnsi="Calibri"/>
          <w:b w:val="0"/>
          <w:i w:val="0"/>
          <w:color w:val="000000"/>
          <w:sz w:val="19"/>
        </w:rPr>
        <w:t xml:space="preserve"> (11 a. m.): estandarizar amplificaría el ruido nocturno unas 16 veces. Se verificó el efecto: con k = 2 la partición resultante es </w:t>
      </w:r>
      <w:r>
        <w:rPr>
          <w:rFonts w:ascii="Calibri" w:hAnsi="Calibri"/>
          <w:b/>
          <w:i w:val="0"/>
          <w:color w:val="000000"/>
          <w:sz w:val="19"/>
        </w:rPr>
        <w:t>idéntica</w:t>
      </w:r>
      <w:r>
        <w:rPr>
          <w:rFonts w:ascii="Calibri" w:hAnsi="Calibri"/>
          <w:b w:val="0"/>
          <w:i w:val="0"/>
          <w:color w:val="000000"/>
          <w:sz w:val="19"/>
        </w:rPr>
        <w:t xml:space="preserve"> (ARI = 1,000) —el tipo de día es robusto al escalado—, pero la silueta cae de 0,392 a 0,259 porque el espacio estandarizado añade ruido. Estandarizar no habría cambiado los grupos, pero sí habría debilitado la evidencia para elegirlos.</w:t>
      </w:r>
    </w:p>
    <w:p>
      <w:pPr>
        <w:keepNext/>
        <w:spacing w:before="320" w:after="140"/>
        <w:pBdr>
          <w:bottom w:val="single" w:sz="8" w:space="3" w:color="1F3864"/>
        </w:pBdr>
      </w:pPr>
      <w:r>
        <w:rPr>
          <w:rFonts w:ascii="Calibri" w:hAnsi="Calibri"/>
          <w:b/>
          <w:color w:val="1F3864"/>
          <w:sz w:val="28"/>
        </w:rPr>
        <w:t>Punto 1 — K-Means para k entre 2 y 10</w:t>
      </w:r>
    </w:p>
    <w:p>
      <w:pPr>
        <w:spacing w:before="0" w:after="120"/>
        <w:jc w:val="both"/>
      </w:pPr>
      <w:r>
        <w:rPr>
          <w:rFonts w:ascii="Calibri" w:hAnsi="Calibri"/>
          <w:b w:val="0"/>
          <w:i w:val="0"/>
          <w:color w:val="000000"/>
          <w:sz w:val="19"/>
        </w:rPr>
        <w:t xml:space="preserve">Se aplicaron las tres métricas del enunciado a dos versiones de la curva: el </w:t>
      </w:r>
      <w:r>
        <w:rPr>
          <w:rFonts w:ascii="Calibri" w:hAnsi="Calibri"/>
          <w:b/>
          <w:i w:val="0"/>
          <w:color w:val="000000"/>
          <w:sz w:val="19"/>
        </w:rPr>
        <w:t>nivel</w:t>
      </w:r>
      <w:r>
        <w:rPr>
          <w:rFonts w:ascii="Calibri" w:hAnsi="Calibri"/>
          <w:b w:val="0"/>
          <w:i w:val="0"/>
          <w:color w:val="000000"/>
          <w:sz w:val="19"/>
        </w:rPr>
        <w:t xml:space="preserve"> (consumo en Wh) y la </w:t>
      </w:r>
      <w:r>
        <w:rPr>
          <w:rFonts w:ascii="Calibri" w:hAnsi="Calibri"/>
          <w:b/>
          <w:i w:val="0"/>
          <w:color w:val="000000"/>
          <w:sz w:val="19"/>
        </w:rPr>
        <w:t>forma</w:t>
      </w:r>
      <w:r>
        <w:rPr>
          <w:rFonts w:ascii="Calibri" w:hAnsi="Calibri"/>
          <w:b w:val="0"/>
          <w:i w:val="0"/>
          <w:color w:val="000000"/>
          <w:sz w:val="19"/>
        </w:rPr>
        <w:t xml:space="preserve"> (la curva dividida por el total del día, que aísla la rutina de la intensidad). El índice de Dunn usa la misma función presentada en clase, sin modificarla.</w:t>
      </w:r>
    </w:p>
    <w:p>
      <w:pPr>
        <w:keepNext/>
        <w:spacing w:before="120" w:after="40"/>
        <w:jc w:val="center"/>
      </w:pPr>
      <w:r>
        <w:drawing>
          <wp:inline xmlns:a="http://schemas.openxmlformats.org/drawingml/2006/main" xmlns:pic="http://schemas.openxmlformats.org/drawingml/2006/picture">
            <wp:extent cx="5760000" cy="1634125"/>
            <wp:docPr id="2" name="Picture 2"/>
            <wp:cNvGraphicFramePr>
              <a:graphicFrameLocks noChangeAspect="1"/>
            </wp:cNvGraphicFramePr>
            <a:graphic>
              <a:graphicData uri="http://schemas.openxmlformats.org/drawingml/2006/picture">
                <pic:pic>
                  <pic:nvPicPr>
                    <pic:cNvPr id="0" name="K2_metricas.png"/>
                    <pic:cNvPicPr/>
                  </pic:nvPicPr>
                  <pic:blipFill>
                    <a:blip r:embed="rId10"/>
                    <a:stretch>
                      <a:fillRect/>
                    </a:stretch>
                  </pic:blipFill>
                  <pic:spPr>
                    <a:xfrm>
                      <a:off x="0" y="0"/>
                      <a:ext cx="5760000" cy="1634125"/>
                    </a:xfrm>
                    <a:prstGeom prst="rect"/>
                  </pic:spPr>
                </pic:pic>
              </a:graphicData>
            </a:graphic>
          </wp:inline>
        </w:drawing>
      </w:r>
    </w:p>
    <w:p>
      <w:pPr>
        <w:spacing w:before="0" w:after="200"/>
        <w:jc w:val="center"/>
      </w:pPr>
      <w:r>
        <w:rPr>
          <w:rFonts w:ascii="Calibri" w:hAnsi="Calibri"/>
          <w:b w:val="0"/>
          <w:i/>
          <w:color w:val="666666"/>
          <w:sz w:val="17"/>
        </w:rPr>
        <w:t>Figura 2. Método del codo, Silhouette Score e índice de Dunn para k = 1…10, en las dos versiones.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680"/>
            <w:shd w:val="clear" w:color="auto" w:fill="1F3864"/>
          </w:tcPr>
          <w:p>
            <w:pPr>
              <w:spacing w:before="40" w:after="40"/>
              <w:jc w:val="center"/>
            </w:pPr>
            <w:r/>
            <w:r>
              <w:rPr>
                <w:rFonts w:ascii="Calibri" w:hAnsi="Calibri"/>
                <w:b/>
                <w:i w:val="0"/>
                <w:color w:val="FFFFFF"/>
                <w:sz w:val="18"/>
              </w:rPr>
              <w:t>k</w:t>
            </w:r>
          </w:p>
        </w:tc>
        <w:tc>
          <w:tcPr>
            <w:tcW w:type="dxa" w:w="1587"/>
            <w:shd w:val="clear" w:color="auto" w:fill="1F3864"/>
          </w:tcPr>
          <w:p>
            <w:pPr>
              <w:spacing w:before="40" w:after="40"/>
              <w:jc w:val="center"/>
            </w:pPr>
            <w:r/>
            <w:r>
              <w:rPr>
                <w:rFonts w:ascii="Calibri" w:hAnsi="Calibri"/>
                <w:b/>
                <w:i w:val="0"/>
                <w:color w:val="FFFFFF"/>
                <w:sz w:val="18"/>
              </w:rPr>
              <w:t>Inercia (nivel)</w:t>
            </w:r>
          </w:p>
        </w:tc>
        <w:tc>
          <w:tcPr>
            <w:tcW w:type="dxa" w:w="1587"/>
            <w:shd w:val="clear" w:color="auto" w:fill="1F3864"/>
          </w:tcPr>
          <w:p>
            <w:pPr>
              <w:spacing w:before="40" w:after="40"/>
              <w:jc w:val="center"/>
            </w:pPr>
            <w:r/>
            <w:r>
              <w:rPr>
                <w:rFonts w:ascii="Calibri" w:hAnsi="Calibri"/>
                <w:b/>
                <w:i w:val="0"/>
                <w:color w:val="FFFFFF"/>
                <w:sz w:val="18"/>
              </w:rPr>
              <w:t>Silueta (nivel)</w:t>
            </w:r>
          </w:p>
        </w:tc>
        <w:tc>
          <w:tcPr>
            <w:tcW w:type="dxa" w:w="1474"/>
            <w:shd w:val="clear" w:color="auto" w:fill="1F3864"/>
          </w:tcPr>
          <w:p>
            <w:pPr>
              <w:spacing w:before="40" w:after="40"/>
              <w:jc w:val="center"/>
            </w:pPr>
            <w:r/>
            <w:r>
              <w:rPr>
                <w:rFonts w:ascii="Calibri" w:hAnsi="Calibri"/>
                <w:b/>
                <w:i w:val="0"/>
                <w:color w:val="FFFFFF"/>
                <w:sz w:val="18"/>
              </w:rPr>
              <w:t>Dunn (nivel)</w:t>
            </w:r>
          </w:p>
        </w:tc>
        <w:tc>
          <w:tcPr>
            <w:tcW w:type="dxa" w:w="2154"/>
            <w:shd w:val="clear" w:color="auto" w:fill="1F3864"/>
          </w:tcPr>
          <w:p>
            <w:pPr>
              <w:spacing w:before="40" w:after="40"/>
              <w:jc w:val="center"/>
            </w:pPr>
            <w:r/>
            <w:r>
              <w:rPr>
                <w:rFonts w:ascii="Calibri" w:hAnsi="Calibri"/>
                <w:b/>
                <w:i w:val="0"/>
                <w:color w:val="FFFFFF"/>
                <w:sz w:val="18"/>
              </w:rPr>
              <w:t>Tamaños</w:t>
            </w:r>
          </w:p>
        </w:tc>
        <w:tc>
          <w:tcPr>
            <w:tcW w:type="dxa" w:w="1701"/>
            <w:shd w:val="clear" w:color="auto" w:fill="1F3864"/>
          </w:tcPr>
          <w:p>
            <w:pPr>
              <w:spacing w:before="40" w:after="40"/>
              <w:jc w:val="center"/>
            </w:pPr>
            <w:r/>
            <w:r>
              <w:rPr>
                <w:rFonts w:ascii="Calibri" w:hAnsi="Calibri"/>
                <w:b/>
                <w:i w:val="0"/>
                <w:color w:val="FFFFFF"/>
                <w:sz w:val="18"/>
              </w:rPr>
              <w:t>Silueta (forma)</w:t>
            </w:r>
          </w:p>
        </w:tc>
      </w:tr>
      <w:tr>
        <w:tc>
          <w:tcPr>
            <w:tcW w:type="dxa" w:w="680"/>
            <w:shd w:val="clear" w:color="auto" w:fill="E8F3E8"/>
          </w:tcPr>
          <w:p>
            <w:pPr>
              <w:spacing w:before="40" w:after="40"/>
              <w:jc w:val="center"/>
            </w:pPr>
            <w:r/>
            <w:r>
              <w:rPr>
                <w:rFonts w:ascii="Calibri" w:hAnsi="Calibri"/>
                <w:b w:val="0"/>
                <w:i w:val="0"/>
                <w:color w:val="000000"/>
                <w:sz w:val="18"/>
              </w:rPr>
              <w:t>2</w:t>
            </w:r>
          </w:p>
        </w:tc>
        <w:tc>
          <w:tcPr>
            <w:tcW w:type="dxa" w:w="1587"/>
            <w:shd w:val="clear" w:color="auto" w:fill="E8F3E8"/>
          </w:tcPr>
          <w:p>
            <w:pPr>
              <w:spacing w:before="40" w:after="40"/>
              <w:jc w:val="center"/>
            </w:pPr>
            <w:r/>
            <w:r>
              <w:rPr>
                <w:rFonts w:ascii="Calibri" w:hAnsi="Calibri"/>
                <w:b w:val="0"/>
                <w:i w:val="0"/>
                <w:color w:val="000000"/>
                <w:sz w:val="18"/>
              </w:rPr>
              <w:t>11,76 M</w:t>
            </w:r>
          </w:p>
        </w:tc>
        <w:tc>
          <w:tcPr>
            <w:tcW w:type="dxa" w:w="1587"/>
            <w:shd w:val="clear" w:color="auto" w:fill="E8F3E8"/>
          </w:tcPr>
          <w:p>
            <w:pPr>
              <w:spacing w:before="40" w:after="40"/>
              <w:jc w:val="center"/>
            </w:pPr>
            <w:r/>
            <w:r>
              <w:rPr>
                <w:rFonts w:ascii="Calibri" w:hAnsi="Calibri"/>
                <w:b/>
                <w:i w:val="0"/>
                <w:color w:val="000000"/>
                <w:sz w:val="18"/>
              </w:rPr>
              <w:t>0,392</w:t>
            </w:r>
          </w:p>
        </w:tc>
        <w:tc>
          <w:tcPr>
            <w:tcW w:type="dxa" w:w="1474"/>
            <w:shd w:val="clear" w:color="auto" w:fill="E8F3E8"/>
          </w:tcPr>
          <w:p>
            <w:pPr>
              <w:spacing w:before="40" w:after="40"/>
              <w:jc w:val="center"/>
            </w:pPr>
            <w:r/>
            <w:r>
              <w:rPr>
                <w:rFonts w:ascii="Calibri" w:hAnsi="Calibri"/>
                <w:b/>
                <w:i w:val="0"/>
                <w:color w:val="000000"/>
                <w:sz w:val="18"/>
              </w:rPr>
              <w:t>0,260</w:t>
            </w:r>
          </w:p>
        </w:tc>
        <w:tc>
          <w:tcPr>
            <w:tcW w:type="dxa" w:w="2154"/>
            <w:shd w:val="clear" w:color="auto" w:fill="E8F3E8"/>
          </w:tcPr>
          <w:p>
            <w:pPr>
              <w:spacing w:before="40" w:after="40"/>
              <w:jc w:val="center"/>
            </w:pPr>
            <w:r/>
            <w:r>
              <w:rPr>
                <w:rFonts w:ascii="Calibri" w:hAnsi="Calibri"/>
                <w:b w:val="0"/>
                <w:i w:val="0"/>
                <w:color w:val="000000"/>
                <w:sz w:val="18"/>
              </w:rPr>
              <w:t>108 / 28</w:t>
            </w:r>
          </w:p>
        </w:tc>
        <w:tc>
          <w:tcPr>
            <w:tcW w:type="dxa" w:w="1701"/>
            <w:shd w:val="clear" w:color="auto" w:fill="E8F3E8"/>
          </w:tcPr>
          <w:p>
            <w:pPr>
              <w:spacing w:before="40" w:after="40"/>
              <w:jc w:val="center"/>
            </w:pPr>
            <w:r/>
            <w:r>
              <w:rPr>
                <w:rFonts w:ascii="Calibri" w:hAnsi="Calibri"/>
                <w:b w:val="0"/>
                <w:i w:val="0"/>
                <w:color w:val="000000"/>
                <w:sz w:val="18"/>
              </w:rPr>
              <w:t>0,153</w:t>
            </w:r>
          </w:p>
        </w:tc>
      </w:tr>
      <w:tr>
        <w:tc>
          <w:tcPr>
            <w:tcW w:type="dxa" w:w="680"/>
            <w:shd w:val="clear" w:color="auto" w:fill="FAFAFA"/>
          </w:tcPr>
          <w:p>
            <w:pPr>
              <w:spacing w:before="40" w:after="40"/>
              <w:jc w:val="center"/>
            </w:pPr>
            <w:r/>
            <w:r>
              <w:rPr>
                <w:rFonts w:ascii="Calibri" w:hAnsi="Calibri"/>
                <w:b w:val="0"/>
                <w:i w:val="0"/>
                <w:color w:val="000000"/>
                <w:sz w:val="18"/>
              </w:rPr>
              <w:t>3</w:t>
            </w:r>
          </w:p>
        </w:tc>
        <w:tc>
          <w:tcPr>
            <w:tcW w:type="dxa" w:w="1587"/>
            <w:shd w:val="clear" w:color="auto" w:fill="FAFAFA"/>
          </w:tcPr>
          <w:p>
            <w:pPr>
              <w:spacing w:before="40" w:after="40"/>
              <w:jc w:val="center"/>
            </w:pPr>
            <w:r/>
            <w:r>
              <w:rPr>
                <w:rFonts w:ascii="Calibri" w:hAnsi="Calibri"/>
                <w:b w:val="0"/>
                <w:i w:val="0"/>
                <w:color w:val="000000"/>
                <w:sz w:val="18"/>
              </w:rPr>
              <w:t>10,74 M</w:t>
            </w:r>
          </w:p>
        </w:tc>
        <w:tc>
          <w:tcPr>
            <w:tcW w:type="dxa" w:w="1587"/>
            <w:shd w:val="clear" w:color="auto" w:fill="FAFAFA"/>
          </w:tcPr>
          <w:p>
            <w:pPr>
              <w:spacing w:before="40" w:after="40"/>
              <w:jc w:val="center"/>
            </w:pPr>
            <w:r/>
            <w:r>
              <w:rPr>
                <w:rFonts w:ascii="Calibri" w:hAnsi="Calibri"/>
                <w:b w:val="0"/>
                <w:i w:val="0"/>
                <w:color w:val="000000"/>
                <w:sz w:val="18"/>
              </w:rPr>
              <w:t>0,225</w:t>
            </w:r>
          </w:p>
        </w:tc>
        <w:tc>
          <w:tcPr>
            <w:tcW w:type="dxa" w:w="1474"/>
            <w:shd w:val="clear" w:color="auto" w:fill="FAFAFA"/>
          </w:tcPr>
          <w:p>
            <w:pPr>
              <w:spacing w:before="40" w:after="40"/>
              <w:jc w:val="center"/>
            </w:pPr>
            <w:r/>
            <w:r>
              <w:rPr>
                <w:rFonts w:ascii="Calibri" w:hAnsi="Calibri"/>
                <w:b w:val="0"/>
                <w:i w:val="0"/>
                <w:color w:val="000000"/>
                <w:sz w:val="18"/>
              </w:rPr>
              <w:t>0,179</w:t>
            </w:r>
          </w:p>
        </w:tc>
        <w:tc>
          <w:tcPr>
            <w:tcW w:type="dxa" w:w="2154"/>
            <w:shd w:val="clear" w:color="auto" w:fill="FAFAFA"/>
          </w:tcPr>
          <w:p>
            <w:pPr>
              <w:spacing w:before="40" w:after="40"/>
              <w:jc w:val="center"/>
            </w:pPr>
            <w:r/>
            <w:r>
              <w:rPr>
                <w:rFonts w:ascii="Calibri" w:hAnsi="Calibri"/>
                <w:b w:val="0"/>
                <w:i w:val="0"/>
                <w:color w:val="000000"/>
                <w:sz w:val="18"/>
              </w:rPr>
              <w:t>85 / 31 / 20</w:t>
            </w:r>
          </w:p>
        </w:tc>
        <w:tc>
          <w:tcPr>
            <w:tcW w:type="dxa" w:w="1701"/>
            <w:shd w:val="clear" w:color="auto" w:fill="FAFAFA"/>
          </w:tcPr>
          <w:p>
            <w:pPr>
              <w:spacing w:before="40" w:after="40"/>
              <w:jc w:val="center"/>
            </w:pPr>
            <w:r/>
            <w:r>
              <w:rPr>
                <w:rFonts w:ascii="Calibri" w:hAnsi="Calibri"/>
                <w:b w:val="0"/>
                <w:i w:val="0"/>
                <w:color w:val="000000"/>
                <w:sz w:val="18"/>
              </w:rPr>
              <w:t>0,132</w:t>
            </w:r>
          </w:p>
        </w:tc>
      </w:tr>
      <w:tr>
        <w:tc>
          <w:tcPr>
            <w:tcW w:type="dxa" w:w="680"/>
          </w:tcPr>
          <w:p>
            <w:pPr>
              <w:spacing w:before="40" w:after="40"/>
              <w:jc w:val="center"/>
            </w:pPr>
            <w:r/>
            <w:r>
              <w:rPr>
                <w:rFonts w:ascii="Calibri" w:hAnsi="Calibri"/>
                <w:b w:val="0"/>
                <w:i w:val="0"/>
                <w:color w:val="000000"/>
                <w:sz w:val="18"/>
              </w:rPr>
              <w:t>4</w:t>
            </w:r>
          </w:p>
        </w:tc>
        <w:tc>
          <w:tcPr>
            <w:tcW w:type="dxa" w:w="1587"/>
          </w:tcPr>
          <w:p>
            <w:pPr>
              <w:spacing w:before="40" w:after="40"/>
              <w:jc w:val="center"/>
            </w:pPr>
            <w:r/>
            <w:r>
              <w:rPr>
                <w:rFonts w:ascii="Calibri" w:hAnsi="Calibri"/>
                <w:b w:val="0"/>
                <w:i w:val="0"/>
                <w:color w:val="000000"/>
                <w:sz w:val="18"/>
              </w:rPr>
              <w:t>9,80 M</w:t>
            </w:r>
          </w:p>
        </w:tc>
        <w:tc>
          <w:tcPr>
            <w:tcW w:type="dxa" w:w="1587"/>
          </w:tcPr>
          <w:p>
            <w:pPr>
              <w:spacing w:before="40" w:after="40"/>
              <w:jc w:val="center"/>
            </w:pPr>
            <w:r/>
            <w:r>
              <w:rPr>
                <w:rFonts w:ascii="Calibri" w:hAnsi="Calibri"/>
                <w:b w:val="0"/>
                <w:i w:val="0"/>
                <w:color w:val="000000"/>
                <w:sz w:val="18"/>
              </w:rPr>
              <w:t>0,137</w:t>
            </w:r>
          </w:p>
        </w:tc>
        <w:tc>
          <w:tcPr>
            <w:tcW w:type="dxa" w:w="1474"/>
          </w:tcPr>
          <w:p>
            <w:pPr>
              <w:spacing w:before="40" w:after="40"/>
              <w:jc w:val="center"/>
            </w:pPr>
            <w:r/>
            <w:r>
              <w:rPr>
                <w:rFonts w:ascii="Calibri" w:hAnsi="Calibri"/>
                <w:b w:val="0"/>
                <w:i w:val="0"/>
                <w:color w:val="000000"/>
                <w:sz w:val="18"/>
              </w:rPr>
              <w:t>0,119</w:t>
            </w:r>
          </w:p>
        </w:tc>
        <w:tc>
          <w:tcPr>
            <w:tcW w:type="dxa" w:w="2154"/>
          </w:tcPr>
          <w:p>
            <w:pPr>
              <w:spacing w:before="40" w:after="40"/>
              <w:jc w:val="center"/>
            </w:pPr>
            <w:r/>
            <w:r>
              <w:rPr>
                <w:rFonts w:ascii="Calibri" w:hAnsi="Calibri"/>
                <w:b w:val="0"/>
                <w:i w:val="0"/>
                <w:color w:val="000000"/>
                <w:sz w:val="18"/>
              </w:rPr>
              <w:t>55 / 41 / 22 / 18</w:t>
            </w:r>
          </w:p>
        </w:tc>
        <w:tc>
          <w:tcPr>
            <w:tcW w:type="dxa" w:w="1701"/>
          </w:tcPr>
          <w:p>
            <w:pPr>
              <w:spacing w:before="40" w:after="40"/>
              <w:jc w:val="center"/>
            </w:pPr>
            <w:r/>
            <w:r>
              <w:rPr>
                <w:rFonts w:ascii="Calibri" w:hAnsi="Calibri"/>
                <w:b w:val="0"/>
                <w:i w:val="0"/>
                <w:color w:val="000000"/>
                <w:sz w:val="18"/>
              </w:rPr>
              <w:t>0,139</w:t>
            </w:r>
          </w:p>
        </w:tc>
      </w:tr>
      <w:tr>
        <w:tc>
          <w:tcPr>
            <w:tcW w:type="dxa" w:w="680"/>
            <w:shd w:val="clear" w:color="auto" w:fill="FAFAFA"/>
          </w:tcPr>
          <w:p>
            <w:pPr>
              <w:spacing w:before="40" w:after="40"/>
              <w:jc w:val="center"/>
            </w:pPr>
            <w:r/>
            <w:r>
              <w:rPr>
                <w:rFonts w:ascii="Calibri" w:hAnsi="Calibri"/>
                <w:b w:val="0"/>
                <w:i w:val="0"/>
                <w:color w:val="000000"/>
                <w:sz w:val="18"/>
              </w:rPr>
              <w:t>5</w:t>
            </w:r>
          </w:p>
        </w:tc>
        <w:tc>
          <w:tcPr>
            <w:tcW w:type="dxa" w:w="1587"/>
            <w:shd w:val="clear" w:color="auto" w:fill="FAFAFA"/>
          </w:tcPr>
          <w:p>
            <w:pPr>
              <w:spacing w:before="40" w:after="40"/>
              <w:jc w:val="center"/>
            </w:pPr>
            <w:r/>
            <w:r>
              <w:rPr>
                <w:rFonts w:ascii="Calibri" w:hAnsi="Calibri"/>
                <w:b w:val="0"/>
                <w:i w:val="0"/>
                <w:color w:val="000000"/>
                <w:sz w:val="18"/>
              </w:rPr>
              <w:t>9,14 M</w:t>
            </w:r>
          </w:p>
        </w:tc>
        <w:tc>
          <w:tcPr>
            <w:tcW w:type="dxa" w:w="1587"/>
            <w:shd w:val="clear" w:color="auto" w:fill="FAFAFA"/>
          </w:tcPr>
          <w:p>
            <w:pPr>
              <w:spacing w:before="40" w:after="40"/>
              <w:jc w:val="center"/>
            </w:pPr>
            <w:r/>
            <w:r>
              <w:rPr>
                <w:rFonts w:ascii="Calibri" w:hAnsi="Calibri"/>
                <w:b w:val="0"/>
                <w:i w:val="0"/>
                <w:color w:val="000000"/>
                <w:sz w:val="18"/>
              </w:rPr>
              <w:t>0,148</w:t>
            </w:r>
          </w:p>
        </w:tc>
        <w:tc>
          <w:tcPr>
            <w:tcW w:type="dxa" w:w="1474"/>
            <w:shd w:val="clear" w:color="auto" w:fill="FAFAFA"/>
          </w:tcPr>
          <w:p>
            <w:pPr>
              <w:spacing w:before="40" w:after="40"/>
              <w:jc w:val="center"/>
            </w:pPr>
            <w:r/>
            <w:r>
              <w:rPr>
                <w:rFonts w:ascii="Calibri" w:hAnsi="Calibri"/>
                <w:b w:val="0"/>
                <w:i w:val="0"/>
                <w:color w:val="000000"/>
                <w:sz w:val="18"/>
              </w:rPr>
              <w:t>0,116</w:t>
            </w:r>
          </w:p>
        </w:tc>
        <w:tc>
          <w:tcPr>
            <w:tcW w:type="dxa" w:w="2154"/>
            <w:shd w:val="clear" w:color="auto" w:fill="FAFAFA"/>
          </w:tcPr>
          <w:p>
            <w:pPr>
              <w:spacing w:before="40" w:after="40"/>
              <w:jc w:val="center"/>
            </w:pPr>
            <w:r/>
            <w:r>
              <w:rPr>
                <w:rFonts w:ascii="Calibri" w:hAnsi="Calibri"/>
                <w:b w:val="0"/>
                <w:i w:val="0"/>
                <w:color w:val="000000"/>
                <w:sz w:val="18"/>
              </w:rPr>
              <w:t>55 / 30 / 28 / 14 / 9</w:t>
            </w:r>
          </w:p>
        </w:tc>
        <w:tc>
          <w:tcPr>
            <w:tcW w:type="dxa" w:w="1701"/>
            <w:shd w:val="clear" w:color="auto" w:fill="FAFAFA"/>
          </w:tcPr>
          <w:p>
            <w:pPr>
              <w:spacing w:before="40" w:after="40"/>
              <w:jc w:val="center"/>
            </w:pPr>
            <w:r/>
            <w:r>
              <w:rPr>
                <w:rFonts w:ascii="Calibri" w:hAnsi="Calibri"/>
                <w:b w:val="0"/>
                <w:i w:val="0"/>
                <w:color w:val="000000"/>
                <w:sz w:val="18"/>
              </w:rPr>
              <w:t>0,133</w:t>
            </w:r>
          </w:p>
        </w:tc>
      </w:tr>
      <w:tr>
        <w:tc>
          <w:tcPr>
            <w:tcW w:type="dxa" w:w="680"/>
          </w:tcPr>
          <w:p>
            <w:pPr>
              <w:spacing w:before="40" w:after="40"/>
              <w:jc w:val="center"/>
            </w:pPr>
            <w:r/>
            <w:r>
              <w:rPr>
                <w:rFonts w:ascii="Calibri" w:hAnsi="Calibri"/>
                <w:b w:val="0"/>
                <w:i w:val="0"/>
                <w:color w:val="000000"/>
                <w:sz w:val="18"/>
              </w:rPr>
              <w:t>10</w:t>
            </w:r>
          </w:p>
        </w:tc>
        <w:tc>
          <w:tcPr>
            <w:tcW w:type="dxa" w:w="1587"/>
          </w:tcPr>
          <w:p>
            <w:pPr>
              <w:spacing w:before="40" w:after="40"/>
              <w:jc w:val="center"/>
            </w:pPr>
            <w:r/>
            <w:r>
              <w:rPr>
                <w:rFonts w:ascii="Calibri" w:hAnsi="Calibri"/>
                <w:b w:val="0"/>
                <w:i w:val="0"/>
                <w:color w:val="000000"/>
                <w:sz w:val="18"/>
              </w:rPr>
              <w:t>7,18 M</w:t>
            </w:r>
          </w:p>
        </w:tc>
        <w:tc>
          <w:tcPr>
            <w:tcW w:type="dxa" w:w="1587"/>
          </w:tcPr>
          <w:p>
            <w:pPr>
              <w:spacing w:before="40" w:after="40"/>
              <w:jc w:val="center"/>
            </w:pPr>
            <w:r/>
            <w:r>
              <w:rPr>
                <w:rFonts w:ascii="Calibri" w:hAnsi="Calibri"/>
                <w:b w:val="0"/>
                <w:i w:val="0"/>
                <w:color w:val="000000"/>
                <w:sz w:val="18"/>
              </w:rPr>
              <w:t>0,121</w:t>
            </w:r>
          </w:p>
        </w:tc>
        <w:tc>
          <w:tcPr>
            <w:tcW w:type="dxa" w:w="1474"/>
          </w:tcPr>
          <w:p>
            <w:pPr>
              <w:spacing w:before="40" w:after="40"/>
              <w:jc w:val="center"/>
            </w:pPr>
            <w:r/>
            <w:r>
              <w:rPr>
                <w:rFonts w:ascii="Calibri" w:hAnsi="Calibri"/>
                <w:b w:val="0"/>
                <w:i w:val="0"/>
                <w:color w:val="000000"/>
                <w:sz w:val="18"/>
              </w:rPr>
              <w:t>0,105</w:t>
            </w:r>
          </w:p>
        </w:tc>
        <w:tc>
          <w:tcPr>
            <w:tcW w:type="dxa" w:w="2154"/>
          </w:tcPr>
          <w:p>
            <w:pPr>
              <w:spacing w:before="40" w:after="40"/>
              <w:jc w:val="center"/>
            </w:pPr>
            <w:r/>
            <w:r>
              <w:rPr>
                <w:rFonts w:ascii="Calibri" w:hAnsi="Calibri"/>
                <w:b w:val="0"/>
                <w:i w:val="0"/>
                <w:color w:val="000000"/>
                <w:sz w:val="18"/>
              </w:rPr>
              <w:t>—</w:t>
            </w:r>
          </w:p>
        </w:tc>
        <w:tc>
          <w:tcPr>
            <w:tcW w:type="dxa" w:w="1701"/>
          </w:tcPr>
          <w:p>
            <w:pPr>
              <w:spacing w:before="40" w:after="40"/>
              <w:jc w:val="center"/>
            </w:pPr>
            <w:r/>
            <w:r>
              <w:rPr>
                <w:rFonts w:ascii="Calibri" w:hAnsi="Calibri"/>
                <w:b w:val="0"/>
                <w:i w:val="0"/>
                <w:color w:val="000000"/>
                <w:sz w:val="18"/>
              </w:rPr>
              <w:t>0,128</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El k elegido: 2 — y esta vez las tres métricas están de acuerdo.  </w:t>
            </w:r>
            <w:r>
              <w:rPr>
                <w:rFonts w:ascii="Calibri" w:hAnsi="Calibri"/>
                <w:b w:val="0"/>
                <w:i w:val="0"/>
                <w:color w:val="000000"/>
                <w:sz w:val="19"/>
              </w:rPr>
              <w:t xml:space="preserve">En el ejemplo de clase las métricas se contradecían (silueta y Dunn señalaban k = 2 y el codo, k = 4–5). Aquí, sobre la curva en Wh, </w:t>
            </w:r>
            <w:r>
              <w:rPr>
                <w:rFonts w:ascii="Calibri" w:hAnsi="Calibri"/>
                <w:b/>
                <w:i w:val="0"/>
                <w:color w:val="000000"/>
                <w:sz w:val="19"/>
              </w:rPr>
              <w:t>coinciden las tres</w:t>
            </w:r>
            <w:r>
              <w:rPr>
                <w:rFonts w:ascii="Calibri" w:hAnsi="Calibri"/>
                <w:b w:val="0"/>
                <w:i w:val="0"/>
                <w:color w:val="000000"/>
                <w:sz w:val="19"/>
              </w:rPr>
              <w:t xml:space="preserve">: pasar de 1 a 2 clústers reduce la inercia un </w:t>
            </w:r>
            <w:r>
              <w:rPr>
                <w:rFonts w:ascii="Calibri" w:hAnsi="Calibri"/>
                <w:b/>
                <w:i w:val="0"/>
                <w:color w:val="000000"/>
                <w:sz w:val="19"/>
              </w:rPr>
              <w:t>28 %</w:t>
            </w:r>
            <w:r>
              <w:rPr>
                <w:rFonts w:ascii="Calibri" w:hAnsi="Calibri"/>
                <w:b w:val="0"/>
                <w:i w:val="0"/>
                <w:color w:val="000000"/>
                <w:sz w:val="19"/>
              </w:rPr>
              <w:t xml:space="preserve"> y cada clúster adicional menos de un 9 %; la silueta es máxima en k = 2 (</w:t>
            </w:r>
            <w:r>
              <w:rPr>
                <w:rFonts w:ascii="Calibri" w:hAnsi="Calibri"/>
                <w:b/>
                <w:i w:val="0"/>
                <w:color w:val="000000"/>
                <w:sz w:val="19"/>
              </w:rPr>
              <w:t>0,392</w:t>
            </w:r>
            <w:r>
              <w:rPr>
                <w:rFonts w:ascii="Calibri" w:hAnsi="Calibri"/>
                <w:b w:val="0"/>
                <w:i w:val="0"/>
                <w:color w:val="000000"/>
                <w:sz w:val="19"/>
              </w:rPr>
              <w:t xml:space="preserve">) y cae a 0,225 con k = 3; y Dunn alcanza su máximo, </w:t>
            </w:r>
            <w:r>
              <w:rPr>
                <w:rFonts w:ascii="Calibri" w:hAnsi="Calibri"/>
                <w:b/>
                <w:i w:val="0"/>
                <w:color w:val="000000"/>
                <w:sz w:val="19"/>
              </w:rPr>
              <w:t>0,260</w:t>
            </w:r>
            <w:r>
              <w:rPr>
                <w:rFonts w:ascii="Calibri" w:hAnsi="Calibri"/>
                <w:b w:val="0"/>
                <w:i w:val="0"/>
                <w:color w:val="000000"/>
                <w:sz w:val="19"/>
              </w:rPr>
              <w:t>, en k = 2. La versión de forma no tiene estructura que elegir: su silueta se queda entre 0,13 y 0,15 para todo k.</w:t>
            </w:r>
          </w:p>
        </w:tc>
      </w:tr>
    </w:tbl>
    <w:p>
      <w:pPr>
        <w:spacing w:after="40"/>
      </w:pPr>
    </w:p>
    <w:p>
      <w:pPr>
        <w:spacing w:before="0" w:after="120"/>
        <w:jc w:val="both"/>
      </w:pPr>
      <w:r>
        <w:rPr>
          <w:rFonts w:ascii="Calibri" w:hAnsi="Calibri"/>
          <w:b/>
          <w:i w:val="0"/>
          <w:color w:val="000000"/>
          <w:sz w:val="19"/>
        </w:rPr>
        <w:t>Criterio propio de Shiro.</w:t>
      </w:r>
      <w:r>
        <w:rPr>
          <w:rFonts w:ascii="Calibri" w:hAnsi="Calibri"/>
          <w:b w:val="0"/>
          <w:i w:val="0"/>
          <w:color w:val="000000"/>
          <w:sz w:val="19"/>
        </w:rPr>
        <w:t xml:space="preserve"> Cada tipo de día multiplica la tabla Q del agente (24 horas × k tipos × bandas de temperatura × acciones). Aquí no hay tensión: el k que prefieren las métricas es también el más barato para el espacio de estados. La sección de observabilidad añade un tercer argumento a favor de k = 2.</w:t>
      </w:r>
    </w:p>
    <w:p>
      <w:pPr>
        <w:keepNext/>
        <w:spacing w:before="320" w:after="140"/>
        <w:pBdr>
          <w:bottom w:val="single" w:sz="8" w:space="3" w:color="1F3864"/>
        </w:pBdr>
      </w:pPr>
      <w:r>
        <w:rPr>
          <w:rFonts w:ascii="Calibri" w:hAnsi="Calibri"/>
          <w:b/>
          <w:color w:val="1F3864"/>
          <w:sz w:val="28"/>
        </w:rPr>
        <w:t>Punto 2 — Visualización: PCA y t-SNE</w:t>
      </w:r>
    </w:p>
    <w:p>
      <w:pPr>
        <w:keepNext/>
        <w:spacing w:before="120" w:after="40"/>
        <w:jc w:val="center"/>
      </w:pPr>
      <w:r>
        <w:drawing>
          <wp:inline xmlns:a="http://schemas.openxmlformats.org/drawingml/2006/main" xmlns:pic="http://schemas.openxmlformats.org/drawingml/2006/picture">
            <wp:extent cx="5760000" cy="1773199"/>
            <wp:docPr id="3" name="Picture 3"/>
            <wp:cNvGraphicFramePr>
              <a:graphicFrameLocks noChangeAspect="1"/>
            </wp:cNvGraphicFramePr>
            <a:graphic>
              <a:graphicData uri="http://schemas.openxmlformats.org/drawingml/2006/picture">
                <pic:pic>
                  <pic:nvPicPr>
                    <pic:cNvPr id="0" name="K3_pca.png"/>
                    <pic:cNvPicPr/>
                  </pic:nvPicPr>
                  <pic:blipFill>
                    <a:blip r:embed="rId11"/>
                    <a:stretch>
                      <a:fillRect/>
                    </a:stretch>
                  </pic:blipFill>
                  <pic:spPr>
                    <a:xfrm>
                      <a:off x="0" y="0"/>
                      <a:ext cx="5760000" cy="1773199"/>
                    </a:xfrm>
                    <a:prstGeom prst="rect"/>
                  </pic:spPr>
                </pic:pic>
              </a:graphicData>
            </a:graphic>
          </wp:inline>
        </w:drawing>
      </w:r>
    </w:p>
    <w:p>
      <w:pPr>
        <w:spacing w:before="0" w:after="200"/>
        <w:jc w:val="center"/>
      </w:pPr>
      <w:r>
        <w:rPr>
          <w:rFonts w:ascii="Calibri" w:hAnsi="Calibri"/>
          <w:b w:val="0"/>
          <w:i/>
          <w:color w:val="666666"/>
          <w:sz w:val="17"/>
        </w:rPr>
        <w:t>Figura 3. Proyección PCA (50,1 % de la varianza) coloreada con k = 2, 3 y 4.</w:t>
      </w:r>
    </w:p>
    <w:p>
      <w:pPr>
        <w:keepNext/>
        <w:spacing w:before="120" w:after="40"/>
        <w:jc w:val="center"/>
      </w:pPr>
      <w:r>
        <w:drawing>
          <wp:inline xmlns:a="http://schemas.openxmlformats.org/drawingml/2006/main" xmlns:pic="http://schemas.openxmlformats.org/drawingml/2006/picture">
            <wp:extent cx="5760000" cy="3488451"/>
            <wp:docPr id="4" name="Picture 4"/>
            <wp:cNvGraphicFramePr>
              <a:graphicFrameLocks noChangeAspect="1"/>
            </wp:cNvGraphicFramePr>
            <a:graphic>
              <a:graphicData uri="http://schemas.openxmlformats.org/drawingml/2006/picture">
                <pic:pic>
                  <pic:nvPicPr>
                    <pic:cNvPr id="0" name="K4_tsne.png"/>
                    <pic:cNvPicPr/>
                  </pic:nvPicPr>
                  <pic:blipFill>
                    <a:blip r:embed="rId12"/>
                    <a:stretch>
                      <a:fillRect/>
                    </a:stretch>
                  </pic:blipFill>
                  <pic:spPr>
                    <a:xfrm>
                      <a:off x="0" y="0"/>
                      <a:ext cx="5760000" cy="3488451"/>
                    </a:xfrm>
                    <a:prstGeom prst="rect"/>
                  </pic:spPr>
                </pic:pic>
              </a:graphicData>
            </a:graphic>
          </wp:inline>
        </w:drawing>
      </w:r>
    </w:p>
    <w:p>
      <w:pPr>
        <w:spacing w:before="0" w:after="200"/>
        <w:jc w:val="center"/>
      </w:pPr>
      <w:r>
        <w:rPr>
          <w:rFonts w:ascii="Calibri" w:hAnsi="Calibri"/>
          <w:b w:val="0"/>
          <w:i/>
          <w:color w:val="666666"/>
          <w:sz w:val="17"/>
        </w:rPr>
        <w:t>Figura 4. t-SNE: arriba, sensibilidad a la perplexity con k = 2; abajo, efecto de k con perplexity 15.</w:t>
      </w:r>
    </w:p>
    <w:p>
      <w:pPr>
        <w:spacing w:before="0" w:after="120"/>
        <w:jc w:val="both"/>
      </w:pPr>
      <w:r>
        <w:rPr>
          <w:rFonts w:ascii="Calibri" w:hAnsi="Calibri"/>
          <w:b/>
          <w:i w:val="0"/>
          <w:color w:val="000000"/>
          <w:sz w:val="19"/>
        </w:rPr>
        <w:t>PCA separa mejor, y la razón es informativa.</w:t>
      </w:r>
      <w:r>
        <w:rPr>
          <w:rFonts w:ascii="Calibri" w:hAnsi="Calibri"/>
          <w:b w:val="0"/>
          <w:i w:val="0"/>
          <w:color w:val="000000"/>
          <w:sz w:val="19"/>
        </w:rPr>
        <w:t xml:space="preserve"> Los dos primeros componentes retienen la mitad de la varianza (37,2 % + 12,9 %), y con k = 2 los días de carga alta quedan casi por completo a un lado de PC1: la diferencia entre los tipos es, sobre todo, cuánto se consume de día — una dirección lineal, que es justo lo que PCA captura. Con k = 3 y 4 los clústers nuevos son cortes dentro de la nube principal, sin un espacio vacío que los separe; por eso la silueta cae.</w:t>
      </w:r>
    </w:p>
    <w:p>
      <w:pPr>
        <w:spacing w:before="0" w:after="120"/>
        <w:jc w:val="both"/>
      </w:pPr>
      <w:r>
        <w:rPr>
          <w:rFonts w:ascii="Calibri" w:hAnsi="Calibri"/>
          <w:b/>
          <w:i w:val="0"/>
          <w:color w:val="000000"/>
          <w:sz w:val="19"/>
        </w:rPr>
        <w:t>t-SNE no revela grupos que PCA no muestre.</w:t>
      </w:r>
      <w:r>
        <w:rPr>
          <w:rFonts w:ascii="Calibri" w:hAnsi="Calibri"/>
          <w:b w:val="0"/>
          <w:i w:val="0"/>
          <w:color w:val="000000"/>
          <w:sz w:val="19"/>
        </w:rPr>
        <w:t xml:space="preserve"> Con perplexity 5 la nube se rompe en hebras cortas: los días de carga alta quedan juntos localmente pero repartidos en varios fragmentos, y el gráfico sugiere más grupos de los que hay. Con 15 y 30 aparece una sola nube con los días de carga alta en un borde. En t-SNE las distancias entre grupos no tienen significado absoluto; cuando el patrón es una diferencia de intensidad y no una forma curva, PCA basta.</w:t>
      </w:r>
    </w:p>
    <w:p>
      <w:pPr>
        <w:keepNext/>
        <w:spacing w:before="320" w:after="140"/>
        <w:pBdr>
          <w:bottom w:val="single" w:sz="8" w:space="3" w:color="1F3864"/>
        </w:pBdr>
      </w:pPr>
      <w:r>
        <w:rPr>
          <w:rFonts w:ascii="Calibri" w:hAnsi="Calibri"/>
          <w:b/>
          <w:color w:val="1F3864"/>
          <w:sz w:val="28"/>
        </w:rPr>
        <w:t>Punto 3 — Caracterización de los clústers</w:t>
      </w:r>
    </w:p>
    <w:p>
      <w:pPr>
        <w:spacing w:before="0" w:after="120"/>
        <w:jc w:val="both"/>
      </w:pPr>
      <w:r>
        <w:rPr>
          <w:rFonts w:ascii="Calibri" w:hAnsi="Calibri"/>
          <w:b w:val="0"/>
          <w:i w:val="0"/>
          <w:color w:val="000000"/>
          <w:sz w:val="19"/>
        </w:rPr>
        <w:t xml:space="preserve">Se agrupó </w:t>
      </w:r>
      <w:r>
        <w:rPr>
          <w:rFonts w:ascii="Calibri" w:hAnsi="Calibri"/>
          <w:b/>
          <w:i w:val="0"/>
          <w:color w:val="000000"/>
          <w:sz w:val="19"/>
        </w:rPr>
        <w:t>solo</w:t>
      </w:r>
      <w:r>
        <w:rPr>
          <w:rFonts w:ascii="Calibri" w:hAnsi="Calibri"/>
          <w:b w:val="0"/>
          <w:i w:val="0"/>
          <w:color w:val="000000"/>
          <w:sz w:val="19"/>
        </w:rPr>
        <w:t xml:space="preserve"> con la curva de consumo; ahora se caracteriza con variables que no entraron al modelo —calendario, clima, iluminación—, de modo que cualquier diferencia es un hallazgo y no una consecuencia de cómo se construyeron los grupos.</w:t>
      </w:r>
    </w:p>
    <w:p>
      <w:pPr>
        <w:keepNext/>
        <w:spacing w:before="120" w:after="40"/>
        <w:jc w:val="center"/>
      </w:pPr>
      <w:r>
        <w:drawing>
          <wp:inline xmlns:a="http://schemas.openxmlformats.org/drawingml/2006/main" xmlns:pic="http://schemas.openxmlformats.org/drawingml/2006/picture">
            <wp:extent cx="5760000" cy="1726841"/>
            <wp:docPr id="5" name="Picture 5"/>
            <wp:cNvGraphicFramePr>
              <a:graphicFrameLocks noChangeAspect="1"/>
            </wp:cNvGraphicFramePr>
            <a:graphic>
              <a:graphicData uri="http://schemas.openxmlformats.org/drawingml/2006/picture">
                <pic:pic>
                  <pic:nvPicPr>
                    <pic:cNvPr id="0" name="K5_perfiles.png"/>
                    <pic:cNvPicPr/>
                  </pic:nvPicPr>
                  <pic:blipFill>
                    <a:blip r:embed="rId13"/>
                    <a:stretch>
                      <a:fillRect/>
                    </a:stretch>
                  </pic:blipFill>
                  <pic:spPr>
                    <a:xfrm>
                      <a:off x="0" y="0"/>
                      <a:ext cx="5760000" cy="1726841"/>
                    </a:xfrm>
                    <a:prstGeom prst="rect"/>
                  </pic:spPr>
                </pic:pic>
              </a:graphicData>
            </a:graphic>
          </wp:inline>
        </w:drawing>
      </w:r>
    </w:p>
    <w:p>
      <w:pPr>
        <w:spacing w:before="0" w:after="200"/>
        <w:jc w:val="center"/>
      </w:pPr>
      <w:r>
        <w:rPr>
          <w:rFonts w:ascii="Calibri" w:hAnsi="Calibri"/>
          <w:b w:val="0"/>
          <w:i/>
          <w:color w:val="666666"/>
          <w:sz w:val="17"/>
        </w:rPr>
        <w:t>Figura 5. Los dos tipos de día: cada línea fina es un día; la gruesa, el centroide.</w:t>
      </w:r>
    </w:p>
    <w:tbl>
      <w:tblPr>
        <w:tblStyle w:val="TableGrid"/>
        <w:tblW w:type="auto" w:w="0"/>
        <w:jc w:val="center"/>
        <w:tblLook w:firstColumn="1" w:firstRow="1" w:lastColumn="0" w:lastRow="0" w:noHBand="0" w:noVBand="1" w:val="04A0"/>
      </w:tblPr>
      <w:tblGrid>
        <w:gridCol w:w="3249"/>
        <w:gridCol w:w="3249"/>
        <w:gridCol w:w="3249"/>
      </w:tblGrid>
      <w:tr>
        <w:tc>
          <w:tcPr>
            <w:tcW w:type="dxa" w:w="4422"/>
            <w:shd w:val="clear" w:color="auto" w:fill="1F3864"/>
          </w:tcPr>
          <w:p>
            <w:pPr>
              <w:spacing w:before="40" w:after="40"/>
            </w:pPr>
            <w:r/>
            <w:r>
              <w:rPr>
                <w:rFonts w:ascii="Calibri" w:hAnsi="Calibri"/>
                <w:b/>
                <w:i w:val="0"/>
                <w:color w:val="FFFFFF"/>
                <w:sz w:val="18"/>
              </w:rPr>
              <w:t>Variable (media por día)</w:t>
            </w:r>
          </w:p>
        </w:tc>
        <w:tc>
          <w:tcPr>
            <w:tcW w:type="dxa" w:w="2381"/>
            <w:shd w:val="clear" w:color="auto" w:fill="1F3864"/>
          </w:tcPr>
          <w:p>
            <w:pPr>
              <w:spacing w:before="40" w:after="40"/>
              <w:jc w:val="center"/>
            </w:pPr>
            <w:r/>
            <w:r>
              <w:rPr>
                <w:rFonts w:ascii="Calibri" w:hAnsi="Calibri"/>
                <w:b/>
                <w:i w:val="0"/>
                <w:color w:val="FFFFFF"/>
                <w:sz w:val="18"/>
              </w:rPr>
              <w:t>Día normal</w:t>
            </w:r>
          </w:p>
        </w:tc>
        <w:tc>
          <w:tcPr>
            <w:tcW w:type="dxa" w:w="2381"/>
            <w:shd w:val="clear" w:color="auto" w:fill="1F3864"/>
          </w:tcPr>
          <w:p>
            <w:pPr>
              <w:spacing w:before="40" w:after="40"/>
              <w:jc w:val="center"/>
            </w:pPr>
            <w:r/>
            <w:r>
              <w:rPr>
                <w:rFonts w:ascii="Calibri" w:hAnsi="Calibri"/>
                <w:b/>
                <w:i w:val="0"/>
                <w:color w:val="FFFFFF"/>
                <w:sz w:val="18"/>
              </w:rPr>
              <w:t>Día de carga alta</w:t>
            </w:r>
          </w:p>
        </w:tc>
      </w:tr>
      <w:tr>
        <w:tc>
          <w:tcPr>
            <w:tcW w:type="dxa" w:w="4422"/>
          </w:tcPr>
          <w:p>
            <w:pPr>
              <w:spacing w:before="40" w:after="40"/>
            </w:pPr>
            <w:r/>
            <w:r>
              <w:rPr>
                <w:rFonts w:ascii="Calibri" w:hAnsi="Calibri"/>
                <w:b w:val="0"/>
                <w:i w:val="0"/>
                <w:color w:val="000000"/>
                <w:sz w:val="18"/>
              </w:rPr>
              <w:t>Días</w:t>
            </w:r>
          </w:p>
        </w:tc>
        <w:tc>
          <w:tcPr>
            <w:tcW w:type="dxa" w:w="2381"/>
          </w:tcPr>
          <w:p>
            <w:pPr>
              <w:spacing w:before="40" w:after="40"/>
              <w:jc w:val="center"/>
            </w:pPr>
            <w:r/>
            <w:r>
              <w:rPr>
                <w:rFonts w:ascii="Calibri" w:hAnsi="Calibri"/>
                <w:b w:val="0"/>
                <w:i w:val="0"/>
                <w:color w:val="000000"/>
                <w:sz w:val="18"/>
              </w:rPr>
              <w:t>108</w:t>
            </w:r>
          </w:p>
        </w:tc>
        <w:tc>
          <w:tcPr>
            <w:tcW w:type="dxa" w:w="2381"/>
          </w:tcPr>
          <w:p>
            <w:pPr>
              <w:spacing w:before="40" w:after="40"/>
              <w:jc w:val="center"/>
            </w:pPr>
            <w:r/>
            <w:r>
              <w:rPr>
                <w:rFonts w:ascii="Calibri" w:hAnsi="Calibri"/>
                <w:b w:val="0"/>
                <w:i w:val="0"/>
                <w:color w:val="000000"/>
                <w:sz w:val="18"/>
              </w:rPr>
              <w:t>28</w:t>
            </w:r>
          </w:p>
        </w:tc>
      </w:tr>
      <w:tr>
        <w:tc>
          <w:tcPr>
            <w:tcW w:type="dxa" w:w="4422"/>
            <w:shd w:val="clear" w:color="auto" w:fill="FAFAFA"/>
          </w:tcPr>
          <w:p>
            <w:pPr>
              <w:spacing w:before="40" w:after="40"/>
            </w:pPr>
            <w:r/>
            <w:r>
              <w:rPr>
                <w:rFonts w:ascii="Calibri" w:hAnsi="Calibri"/>
                <w:b w:val="0"/>
                <w:i w:val="0"/>
                <w:color w:val="000000"/>
                <w:sz w:val="18"/>
              </w:rPr>
              <w:t>Consumo diario</w:t>
            </w:r>
          </w:p>
        </w:tc>
        <w:tc>
          <w:tcPr>
            <w:tcW w:type="dxa" w:w="2381"/>
            <w:shd w:val="clear" w:color="auto" w:fill="FAFAFA"/>
          </w:tcPr>
          <w:p>
            <w:pPr>
              <w:spacing w:before="40" w:after="40"/>
              <w:jc w:val="center"/>
            </w:pPr>
            <w:r/>
            <w:r>
              <w:rPr>
                <w:rFonts w:ascii="Calibri" w:hAnsi="Calibri"/>
                <w:b w:val="0"/>
                <w:i w:val="0"/>
                <w:color w:val="000000"/>
                <w:sz w:val="18"/>
              </w:rPr>
              <w:t>12,23 kWh</w:t>
            </w:r>
          </w:p>
        </w:tc>
        <w:tc>
          <w:tcPr>
            <w:tcW w:type="dxa" w:w="2381"/>
            <w:shd w:val="clear" w:color="auto" w:fill="FAFAFA"/>
          </w:tcPr>
          <w:p>
            <w:pPr>
              <w:spacing w:before="40" w:after="40"/>
              <w:jc w:val="center"/>
            </w:pPr>
            <w:r/>
            <w:r>
              <w:rPr>
                <w:rFonts w:ascii="Calibri" w:hAnsi="Calibri"/>
                <w:b/>
                <w:i w:val="0"/>
                <w:color w:val="000000"/>
                <w:sz w:val="18"/>
              </w:rPr>
              <w:t>20,94 kWh</w:t>
            </w:r>
          </w:p>
        </w:tc>
      </w:tr>
      <w:tr>
        <w:tc>
          <w:tcPr>
            <w:tcW w:type="dxa" w:w="4422"/>
          </w:tcPr>
          <w:p>
            <w:pPr>
              <w:spacing w:before="40" w:after="40"/>
            </w:pPr>
            <w:r/>
            <w:r>
              <w:rPr>
                <w:rFonts w:ascii="Calibri" w:hAnsi="Calibri"/>
                <w:b w:val="0"/>
                <w:i w:val="0"/>
                <w:color w:val="000000"/>
                <w:sz w:val="18"/>
              </w:rPr>
              <w:t>Hora pico más frecuente</w:t>
            </w:r>
          </w:p>
        </w:tc>
        <w:tc>
          <w:tcPr>
            <w:tcW w:type="dxa" w:w="2381"/>
          </w:tcPr>
          <w:p>
            <w:pPr>
              <w:spacing w:before="40" w:after="40"/>
              <w:jc w:val="center"/>
            </w:pPr>
            <w:r/>
            <w:r>
              <w:rPr>
                <w:rFonts w:ascii="Calibri" w:hAnsi="Calibri"/>
                <w:b w:val="0"/>
                <w:i w:val="0"/>
                <w:color w:val="000000"/>
                <w:sz w:val="18"/>
              </w:rPr>
              <w:t>18 h</w:t>
            </w:r>
          </w:p>
        </w:tc>
        <w:tc>
          <w:tcPr>
            <w:tcW w:type="dxa" w:w="2381"/>
          </w:tcPr>
          <w:p>
            <w:pPr>
              <w:spacing w:before="40" w:after="40"/>
              <w:jc w:val="center"/>
            </w:pPr>
            <w:r/>
            <w:r>
              <w:rPr>
                <w:rFonts w:ascii="Calibri" w:hAnsi="Calibri"/>
                <w:b/>
                <w:i w:val="0"/>
                <w:color w:val="000000"/>
                <w:sz w:val="18"/>
              </w:rPr>
              <w:t>11 h</w:t>
            </w:r>
          </w:p>
        </w:tc>
      </w:tr>
      <w:tr>
        <w:tc>
          <w:tcPr>
            <w:tcW w:type="dxa" w:w="4422"/>
            <w:shd w:val="clear" w:color="auto" w:fill="FAFAFA"/>
          </w:tcPr>
          <w:p>
            <w:pPr>
              <w:spacing w:before="40" w:after="40"/>
            </w:pPr>
            <w:r/>
            <w:r>
              <w:rPr>
                <w:rFonts w:ascii="Calibri" w:hAnsi="Calibri"/>
                <w:b w:val="0"/>
                <w:i w:val="0"/>
                <w:color w:val="000000"/>
                <w:sz w:val="18"/>
              </w:rPr>
              <w:t>Consumo madrugada / mañana / tarde / noche (Wh)</w:t>
            </w:r>
          </w:p>
        </w:tc>
        <w:tc>
          <w:tcPr>
            <w:tcW w:type="dxa" w:w="2381"/>
            <w:shd w:val="clear" w:color="auto" w:fill="FAFAFA"/>
          </w:tcPr>
          <w:p>
            <w:pPr>
              <w:spacing w:before="40" w:after="40"/>
              <w:jc w:val="center"/>
            </w:pPr>
            <w:r/>
            <w:r>
              <w:rPr>
                <w:rFonts w:ascii="Calibri" w:hAnsi="Calibri"/>
                <w:b w:val="0"/>
                <w:i w:val="0"/>
                <w:color w:val="000000"/>
                <w:sz w:val="18"/>
              </w:rPr>
              <w:t>51 / 83 / 94 / 111</w:t>
            </w:r>
          </w:p>
        </w:tc>
        <w:tc>
          <w:tcPr>
            <w:tcW w:type="dxa" w:w="2381"/>
            <w:shd w:val="clear" w:color="auto" w:fill="FAFAFA"/>
          </w:tcPr>
          <w:p>
            <w:pPr>
              <w:spacing w:before="40" w:after="40"/>
              <w:jc w:val="center"/>
            </w:pPr>
            <w:r/>
            <w:r>
              <w:rPr>
                <w:rFonts w:ascii="Calibri" w:hAnsi="Calibri"/>
                <w:b w:val="0"/>
                <w:i w:val="0"/>
                <w:color w:val="000000"/>
                <w:sz w:val="18"/>
              </w:rPr>
              <w:t xml:space="preserve">49 / </w:t>
            </w:r>
            <w:r>
              <w:rPr>
                <w:rFonts w:ascii="Calibri" w:hAnsi="Calibri"/>
                <w:b/>
                <w:i w:val="0"/>
                <w:color w:val="000000"/>
                <w:sz w:val="18"/>
              </w:rPr>
              <w:t>172 / 238</w:t>
            </w:r>
            <w:r>
              <w:rPr>
                <w:rFonts w:ascii="Calibri" w:hAnsi="Calibri"/>
                <w:b w:val="0"/>
                <w:i w:val="0"/>
                <w:color w:val="000000"/>
                <w:sz w:val="18"/>
              </w:rPr>
              <w:t xml:space="preserve"> / 122</w:t>
            </w:r>
          </w:p>
        </w:tc>
      </w:tr>
      <w:tr>
        <w:tc>
          <w:tcPr>
            <w:tcW w:type="dxa" w:w="4422"/>
          </w:tcPr>
          <w:p>
            <w:pPr>
              <w:spacing w:before="40" w:after="40"/>
            </w:pPr>
            <w:r/>
            <w:r>
              <w:rPr>
                <w:rFonts w:ascii="Calibri" w:hAnsi="Calibri"/>
                <w:b w:val="0"/>
                <w:i w:val="0"/>
                <w:color w:val="000000"/>
                <w:sz w:val="18"/>
              </w:rPr>
              <w:t>% de fines de semana</w:t>
            </w:r>
          </w:p>
        </w:tc>
        <w:tc>
          <w:tcPr>
            <w:tcW w:type="dxa" w:w="2381"/>
          </w:tcPr>
          <w:p>
            <w:pPr>
              <w:spacing w:before="40" w:after="40"/>
              <w:jc w:val="center"/>
            </w:pPr>
            <w:r/>
            <w:r>
              <w:rPr>
                <w:rFonts w:ascii="Calibri" w:hAnsi="Calibri"/>
                <w:b w:val="0"/>
                <w:i w:val="0"/>
                <w:color w:val="000000"/>
                <w:sz w:val="18"/>
              </w:rPr>
              <w:t>27,8 %</w:t>
            </w:r>
          </w:p>
        </w:tc>
        <w:tc>
          <w:tcPr>
            <w:tcW w:type="dxa" w:w="2381"/>
          </w:tcPr>
          <w:p>
            <w:pPr>
              <w:spacing w:before="40" w:after="40"/>
              <w:jc w:val="center"/>
            </w:pPr>
            <w:r/>
            <w:r>
              <w:rPr>
                <w:rFonts w:ascii="Calibri" w:hAnsi="Calibri"/>
                <w:b w:val="0"/>
                <w:i w:val="0"/>
                <w:color w:val="000000"/>
                <w:sz w:val="18"/>
              </w:rPr>
              <w:t>28,6 %</w:t>
            </w:r>
          </w:p>
        </w:tc>
      </w:tr>
      <w:tr>
        <w:tc>
          <w:tcPr>
            <w:tcW w:type="dxa" w:w="4422"/>
            <w:shd w:val="clear" w:color="auto" w:fill="FAFAFA"/>
          </w:tcPr>
          <w:p>
            <w:pPr>
              <w:spacing w:before="40" w:after="40"/>
            </w:pPr>
            <w:r/>
            <w:r>
              <w:rPr>
                <w:rFonts w:ascii="Calibri" w:hAnsi="Calibri"/>
                <w:b w:val="0"/>
                <w:i w:val="0"/>
                <w:color w:val="000000"/>
                <w:sz w:val="18"/>
              </w:rPr>
              <w:t>Temperatura exterior</w:t>
            </w:r>
          </w:p>
        </w:tc>
        <w:tc>
          <w:tcPr>
            <w:tcW w:type="dxa" w:w="2381"/>
            <w:shd w:val="clear" w:color="auto" w:fill="FAFAFA"/>
          </w:tcPr>
          <w:p>
            <w:pPr>
              <w:spacing w:before="40" w:after="40"/>
              <w:jc w:val="center"/>
            </w:pPr>
            <w:r/>
            <w:r>
              <w:rPr>
                <w:rFonts w:ascii="Calibri" w:hAnsi="Calibri"/>
                <w:b w:val="0"/>
                <w:i w:val="0"/>
                <w:color w:val="000000"/>
                <w:sz w:val="18"/>
              </w:rPr>
              <w:t>7,4 °C</w:t>
            </w:r>
          </w:p>
        </w:tc>
        <w:tc>
          <w:tcPr>
            <w:tcW w:type="dxa" w:w="2381"/>
            <w:shd w:val="clear" w:color="auto" w:fill="FAFAFA"/>
          </w:tcPr>
          <w:p>
            <w:pPr>
              <w:spacing w:before="40" w:after="40"/>
              <w:jc w:val="center"/>
            </w:pPr>
            <w:r/>
            <w:r>
              <w:rPr>
                <w:rFonts w:ascii="Calibri" w:hAnsi="Calibri"/>
                <w:b w:val="0"/>
                <w:i w:val="0"/>
                <w:color w:val="000000"/>
                <w:sz w:val="18"/>
              </w:rPr>
              <w:t>7,3 °C</w:t>
            </w:r>
          </w:p>
        </w:tc>
      </w:tr>
      <w:tr>
        <w:tc>
          <w:tcPr>
            <w:tcW w:type="dxa" w:w="4422"/>
          </w:tcPr>
          <w:p>
            <w:pPr>
              <w:spacing w:before="40" w:after="40"/>
            </w:pPr>
            <w:r/>
            <w:r>
              <w:rPr>
                <w:rFonts w:ascii="Calibri" w:hAnsi="Calibri"/>
                <w:b w:val="0"/>
                <w:i w:val="0"/>
                <w:color w:val="000000"/>
                <w:sz w:val="18"/>
              </w:rPr>
              <w:t>Temperatura interior</w:t>
            </w:r>
          </w:p>
        </w:tc>
        <w:tc>
          <w:tcPr>
            <w:tcW w:type="dxa" w:w="2381"/>
          </w:tcPr>
          <w:p>
            <w:pPr>
              <w:spacing w:before="40" w:after="40"/>
              <w:jc w:val="center"/>
            </w:pPr>
            <w:r/>
            <w:r>
              <w:rPr>
                <w:rFonts w:ascii="Calibri" w:hAnsi="Calibri"/>
                <w:b w:val="0"/>
                <w:i w:val="0"/>
                <w:color w:val="000000"/>
                <w:sz w:val="18"/>
              </w:rPr>
              <w:t>19,4 °C</w:t>
            </w:r>
          </w:p>
        </w:tc>
        <w:tc>
          <w:tcPr>
            <w:tcW w:type="dxa" w:w="2381"/>
          </w:tcPr>
          <w:p>
            <w:pPr>
              <w:spacing w:before="40" w:after="40"/>
              <w:jc w:val="center"/>
            </w:pPr>
            <w:r/>
            <w:r>
              <w:rPr>
                <w:rFonts w:ascii="Calibri" w:hAnsi="Calibri"/>
                <w:b w:val="0"/>
                <w:i w:val="0"/>
                <w:color w:val="000000"/>
                <w:sz w:val="18"/>
              </w:rPr>
              <w:t>19,3 °C</w:t>
            </w:r>
          </w:p>
        </w:tc>
      </w:tr>
      <w:tr>
        <w:tc>
          <w:tcPr>
            <w:tcW w:type="dxa" w:w="4422"/>
            <w:shd w:val="clear" w:color="auto" w:fill="FAFAFA"/>
          </w:tcPr>
          <w:p>
            <w:pPr>
              <w:spacing w:before="40" w:after="40"/>
            </w:pPr>
            <w:r/>
            <w:r>
              <w:rPr>
                <w:rFonts w:ascii="Calibri" w:hAnsi="Calibri"/>
                <w:b w:val="0"/>
                <w:i w:val="0"/>
                <w:color w:val="000000"/>
                <w:sz w:val="18"/>
              </w:rPr>
              <w:t>Iluminación (lights)</w:t>
            </w:r>
          </w:p>
        </w:tc>
        <w:tc>
          <w:tcPr>
            <w:tcW w:type="dxa" w:w="2381"/>
            <w:shd w:val="clear" w:color="auto" w:fill="FAFAFA"/>
          </w:tcPr>
          <w:p>
            <w:pPr>
              <w:spacing w:before="40" w:after="40"/>
              <w:jc w:val="center"/>
            </w:pPr>
            <w:r/>
            <w:r>
              <w:rPr>
                <w:rFonts w:ascii="Calibri" w:hAnsi="Calibri"/>
                <w:b w:val="0"/>
                <w:i w:val="0"/>
                <w:color w:val="000000"/>
                <w:sz w:val="18"/>
              </w:rPr>
              <w:t>502 Wh</w:t>
            </w:r>
          </w:p>
        </w:tc>
        <w:tc>
          <w:tcPr>
            <w:tcW w:type="dxa" w:w="2381"/>
            <w:shd w:val="clear" w:color="auto" w:fill="FAFAFA"/>
          </w:tcPr>
          <w:p>
            <w:pPr>
              <w:spacing w:before="40" w:after="40"/>
              <w:jc w:val="center"/>
            </w:pPr>
            <w:r/>
            <w:r>
              <w:rPr>
                <w:rFonts w:ascii="Calibri" w:hAnsi="Calibri"/>
                <w:b/>
                <w:i w:val="0"/>
                <w:color w:val="000000"/>
                <w:sz w:val="18"/>
              </w:rPr>
              <w:t>697 Wh</w:t>
            </w:r>
          </w:p>
        </w:tc>
      </w:tr>
    </w:tbl>
    <w:p>
      <w:pPr>
        <w:spacing w:after="40"/>
      </w:pPr>
    </w:p>
    <w:p>
      <w:pPr>
        <w:keepNext/>
        <w:spacing w:before="120" w:after="40"/>
        <w:jc w:val="center"/>
      </w:pPr>
      <w:r>
        <w:drawing>
          <wp:inline xmlns:a="http://schemas.openxmlformats.org/drawingml/2006/main" xmlns:pic="http://schemas.openxmlformats.org/drawingml/2006/picture">
            <wp:extent cx="4500000" cy="3023659"/>
            <wp:docPr id="6" name="Picture 6"/>
            <wp:cNvGraphicFramePr>
              <a:graphicFrameLocks noChangeAspect="1"/>
            </wp:cNvGraphicFramePr>
            <a:graphic>
              <a:graphicData uri="http://schemas.openxmlformats.org/drawingml/2006/picture">
                <pic:pic>
                  <pic:nvPicPr>
                    <pic:cNvPr id="0" name="K9_variables.png"/>
                    <pic:cNvPicPr/>
                  </pic:nvPicPr>
                  <pic:blipFill>
                    <a:blip r:embed="rId14"/>
                    <a:stretch>
                      <a:fillRect/>
                    </a:stretch>
                  </pic:blipFill>
                  <pic:spPr>
                    <a:xfrm>
                      <a:off x="0" y="0"/>
                      <a:ext cx="4500000" cy="3023659"/>
                    </a:xfrm>
                    <a:prstGeom prst="rect"/>
                  </pic:spPr>
                </pic:pic>
              </a:graphicData>
            </a:graphic>
          </wp:inline>
        </w:drawing>
      </w:r>
    </w:p>
    <w:p>
      <w:pPr>
        <w:spacing w:before="0" w:after="200"/>
        <w:jc w:val="center"/>
      </w:pPr>
      <w:r>
        <w:rPr>
          <w:rFonts w:ascii="Calibri" w:hAnsi="Calibri"/>
          <w:b w:val="0"/>
          <w:i/>
          <w:color w:val="666666"/>
          <w:sz w:val="17"/>
        </w:rPr>
        <w:t>Figura 6. Qué distingue a un día de carga alta: tamaño del efecto (d de Cohen) sobre medias diarias.</w:t>
      </w:r>
    </w:p>
    <w:p>
      <w:pPr>
        <w:keepNext/>
        <w:spacing w:before="160" w:after="60"/>
      </w:pPr>
      <w:r>
        <w:rPr>
          <w:rFonts w:ascii="Calibri" w:hAnsi="Calibri"/>
          <w:b/>
          <w:i w:val="0"/>
          <w:color w:val="555555"/>
          <w:sz w:val="20"/>
        </w:rPr>
        <w:t>Qué los diferencia</w:t>
      </w:r>
    </w:p>
    <w:p>
      <w:pPr>
        <w:pStyle w:val="ListBullet"/>
        <w:spacing w:after="60"/>
        <w:ind w:left="340"/>
      </w:pPr>
      <w:r>
        <w:rPr>
          <w:rFonts w:ascii="Calibri" w:hAnsi="Calibri"/>
          <w:b/>
          <w:i w:val="0"/>
          <w:color w:val="000000"/>
          <w:sz w:val="19"/>
        </w:rPr>
        <w:t>Un bloque diurno de 8 a 18 h.</w:t>
      </w:r>
      <w:r>
        <w:rPr>
          <w:rFonts w:ascii="Calibri" w:hAnsi="Calibri"/>
          <w:b w:val="0"/>
          <w:i w:val="0"/>
          <w:color w:val="000000"/>
          <w:sz w:val="19"/>
        </w:rPr>
        <w:t xml:space="preserve"> Las madrugadas son idénticas y las noches casi. Por la mañana el día de carga alta consume el doble y por la tarde dos veces y media. Un árbol de profundidad 2 lo resume en una regla que mira sobre todo la 1 de la tarde (h13 &gt; 199 Wh) y reproduce el clúster en el </w:t>
      </w:r>
      <w:r>
        <w:rPr>
          <w:rFonts w:ascii="Calibri" w:hAnsi="Calibri"/>
          <w:b/>
          <w:i w:val="0"/>
          <w:color w:val="000000"/>
          <w:sz w:val="19"/>
        </w:rPr>
        <w:t>96,3 %</w:t>
      </w:r>
      <w:r>
        <w:rPr>
          <w:rFonts w:ascii="Calibri" w:hAnsi="Calibri"/>
          <w:b w:val="0"/>
          <w:i w:val="0"/>
          <w:color w:val="000000"/>
          <w:sz w:val="19"/>
        </w:rPr>
        <w:t xml:space="preserve"> de los días.</w:t>
      </w:r>
    </w:p>
    <w:p>
      <w:pPr>
        <w:pStyle w:val="ListBullet"/>
        <w:spacing w:after="60"/>
        <w:ind w:left="340"/>
      </w:pPr>
      <w:r>
        <w:rPr>
          <w:rFonts w:ascii="Calibri" w:hAnsi="Calibri"/>
          <w:b/>
          <w:i w:val="0"/>
          <w:color w:val="000000"/>
          <w:sz w:val="19"/>
        </w:rPr>
        <w:t>No el calendario.</w:t>
      </w:r>
      <w:r>
        <w:rPr>
          <w:rFonts w:ascii="Calibri" w:hAnsi="Calibri"/>
          <w:b w:val="0"/>
          <w:i w:val="0"/>
          <w:color w:val="000000"/>
          <w:sz w:val="19"/>
        </w:rPr>
        <w:t xml:space="preserve"> La proporción de fines de semana es la misma (28 % y 29 %): la asociación es nula, </w:t>
      </w:r>
      <w:r>
        <w:rPr>
          <w:rFonts w:ascii="Calibri" w:hAnsi="Calibri"/>
          <w:b/>
          <w:i w:val="0"/>
          <w:color w:val="000000"/>
          <w:sz w:val="19"/>
        </w:rPr>
        <w:t>V de Cramér = 0,000</w:t>
      </w:r>
      <w:r>
        <w:rPr>
          <w:rFonts w:ascii="Calibri" w:hAnsi="Calibri"/>
          <w:b w:val="0"/>
          <w:i w:val="0"/>
          <w:color w:val="000000"/>
          <w:sz w:val="19"/>
        </w:rPr>
        <w:t>. Mes (V = 0,134, p = 0,655) y día de la semana (p = 0,221) tampoco son significativos.</w:t>
      </w:r>
    </w:p>
    <w:p>
      <w:pPr>
        <w:pStyle w:val="ListBullet"/>
        <w:spacing w:after="60"/>
        <w:ind w:left="340"/>
      </w:pPr>
      <w:r>
        <w:rPr>
          <w:rFonts w:ascii="Calibri" w:hAnsi="Calibri"/>
          <w:b/>
          <w:i w:val="0"/>
          <w:color w:val="000000"/>
          <w:sz w:val="19"/>
        </w:rPr>
        <w:t>No el clima.</w:t>
      </w:r>
      <w:r>
        <w:rPr>
          <w:rFonts w:ascii="Calibri" w:hAnsi="Calibri"/>
          <w:b w:val="0"/>
          <w:i w:val="0"/>
          <w:color w:val="000000"/>
          <w:sz w:val="19"/>
        </w:rPr>
        <w:t xml:space="preserve"> Fuera del propio consumo, ninguna variable tiene un efecto grande (todas con |d| &lt; 0,5); la temperatura exterior es prácticamente la misma. Se mueven, con efecto pequeño y en la misma dirección, las variables de actividad doméstica: lights (+39 %) y las humedades interiores, con la de la </w:t>
      </w:r>
      <w:r>
        <w:rPr>
          <w:rFonts w:ascii="Calibri" w:hAnsi="Calibri"/>
          <w:b/>
          <w:i w:val="0"/>
          <w:color w:val="000000"/>
          <w:sz w:val="19"/>
        </w:rPr>
        <w:t>lavandería (RH_3)</w:t>
      </w:r>
      <w:r>
        <w:rPr>
          <w:rFonts w:ascii="Calibri" w:hAnsi="Calibri"/>
          <w:b w:val="0"/>
          <w:i w:val="0"/>
          <w:color w:val="000000"/>
          <w:sz w:val="19"/>
        </w:rPr>
        <w:t xml:space="preserve"> a la cabeza y la de la cocina (RH_1) también arriba. Por la correlación entre habitaciones, el orden interno entre humedades no se lee como prueba; que suban en conjunto, sí.</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Significado real en el sector.  </w:t>
            </w:r>
            <w:r>
              <w:rPr>
                <w:rFonts w:ascii="Calibri" w:hAnsi="Calibri"/>
                <w:b w:val="0"/>
                <w:i w:val="0"/>
                <w:color w:val="000000"/>
                <w:sz w:val="19"/>
              </w:rPr>
              <w:t xml:space="preserve">Un día de carga alta no es un día frío ni un fin de semana: es un día en que las personas de la casa encienden, durante el día, aparatos de alta potencia —lavadora, secadora, horno, lavavajillas—. Son exactamente las </w:t>
            </w:r>
            <w:r>
              <w:rPr>
                <w:rFonts w:ascii="Calibri" w:hAnsi="Calibri"/>
                <w:b/>
                <w:i w:val="0"/>
                <w:color w:val="000000"/>
                <w:sz w:val="19"/>
              </w:rPr>
              <w:t>cargas diferibles</w:t>
            </w:r>
            <w:r>
              <w:rPr>
                <w:rFonts w:ascii="Calibri" w:hAnsi="Calibri"/>
                <w:b w:val="0"/>
                <w:i w:val="0"/>
                <w:color w:val="000000"/>
                <w:sz w:val="19"/>
              </w:rPr>
              <w:t xml:space="preserve"> del espacio de acciones del MDP. El día de carga alta es donde está el margen de ahorro de Shiro; un día normal tiene poco que mover.</w:t>
            </w:r>
          </w:p>
        </w:tc>
      </w:tr>
    </w:tbl>
    <w:p>
      <w:pPr>
        <w:spacing w:after="40"/>
      </w:pPr>
    </w:p>
    <w:p>
      <w:pPr>
        <w:keepNext/>
        <w:spacing w:before="160" w:after="60"/>
      </w:pPr>
      <w:r>
        <w:rPr>
          <w:rFonts w:ascii="Calibri" w:hAnsi="Calibri"/>
          <w:b/>
          <w:i w:val="0"/>
          <w:color w:val="555555"/>
          <w:sz w:val="20"/>
        </w:rPr>
        <w:t>El refinamiento con k = 3</w:t>
      </w:r>
    </w:p>
    <w:p>
      <w:pPr>
        <w:spacing w:before="0" w:after="120"/>
        <w:jc w:val="both"/>
      </w:pPr>
      <w:r>
        <w:rPr>
          <w:rFonts w:ascii="Calibri" w:hAnsi="Calibri"/>
          <w:b w:val="0"/>
          <w:i w:val="0"/>
          <w:color w:val="000000"/>
          <w:sz w:val="19"/>
        </w:rPr>
        <w:t xml:space="preserve">Con k = 3 el día de carga alta se divide en dos, y uno de los nuevos tipos sí tiene firma de calendario: una </w:t>
      </w:r>
      <w:r>
        <w:rPr>
          <w:rFonts w:ascii="Calibri" w:hAnsi="Calibri"/>
          <w:b/>
          <w:i w:val="0"/>
          <w:color w:val="000000"/>
          <w:sz w:val="19"/>
        </w:rPr>
        <w:t>mañana activa</w:t>
      </w:r>
      <w:r>
        <w:rPr>
          <w:rFonts w:ascii="Calibri" w:hAnsi="Calibri"/>
          <w:b w:val="0"/>
          <w:i w:val="0"/>
          <w:color w:val="000000"/>
          <w:sz w:val="19"/>
        </w:rPr>
        <w:t xml:space="preserve"> con el 48 % de sus días en fin de semana, concentrada de viernes a domingo (V de Cramér = 0,248, p = 0,015). Es la rutina laboral / fin de semana que la propuesta esperaba, y es real; pero la silueta cae de 0,392 a 0,225 y el tipo se reconoce más tarde en el día. Se documenta como refinamiento, no se adopta como variable de estado.</w:t>
      </w:r>
    </w:p>
    <w:p>
      <w:pPr>
        <w:keepNext/>
        <w:spacing w:before="160" w:after="60"/>
      </w:pPr>
      <w:r>
        <w:rPr>
          <w:rFonts w:ascii="Calibri" w:hAnsi="Calibri"/>
          <w:b/>
          <w:i w:val="0"/>
          <w:color w:val="555555"/>
          <w:sz w:val="20"/>
        </w:rPr>
        <w:t>La hipótesis del plan, contrastada</w:t>
      </w:r>
    </w:p>
    <w:p>
      <w:pPr>
        <w:spacing w:before="0" w:after="120"/>
        <w:jc w:val="both"/>
      </w:pPr>
      <w:r>
        <w:rPr>
          <w:rFonts w:ascii="Calibri" w:hAnsi="Calibri"/>
          <w:b w:val="0"/>
          <w:i w:val="0"/>
          <w:color w:val="000000"/>
          <w:sz w:val="19"/>
        </w:rPr>
        <w:t xml:space="preserve">Se esperaba que el nivel separara meses (por la deriva estacional del parcial) y la forma, rutinas de calendario. </w:t>
      </w:r>
      <w:r>
        <w:rPr>
          <w:rFonts w:ascii="Calibri" w:hAnsi="Calibri"/>
          <w:b/>
          <w:i w:val="0"/>
          <w:color w:val="000000"/>
          <w:sz w:val="19"/>
        </w:rPr>
        <w:t>La primera mitad quedó refutada</w:t>
      </w:r>
      <w:r>
        <w:rPr>
          <w:rFonts w:ascii="Calibri" w:hAnsi="Calibri"/>
          <w:b w:val="0"/>
          <w:i w:val="0"/>
          <w:color w:val="000000"/>
          <w:sz w:val="19"/>
        </w:rPr>
        <w:t xml:space="preserve"> (nivel vs. mes: V = 0,134, p = 0,655). </w:t>
      </w:r>
      <w:r>
        <w:rPr>
          <w:rFonts w:ascii="Calibri" w:hAnsi="Calibri"/>
          <w:b/>
          <w:i w:val="0"/>
          <w:color w:val="000000"/>
          <w:sz w:val="19"/>
        </w:rPr>
        <w:t>La segunda se cumplió solo a medias</w:t>
      </w:r>
      <w:r>
        <w:rPr>
          <w:rFonts w:ascii="Calibri" w:hAnsi="Calibri"/>
          <w:b w:val="0"/>
          <w:i w:val="0"/>
          <w:color w:val="000000"/>
          <w:sz w:val="19"/>
        </w:rPr>
        <w:t xml:space="preserve">: la forma se asocia con el fin de semana (V = 0,185, p = 0,031), pero débilmente y sin estructura de clústers que la sostenga. Lo que los datos muestran con firmeza es que los días se diferencian por </w:t>
      </w:r>
      <w:r>
        <w:rPr>
          <w:rFonts w:ascii="Calibri" w:hAnsi="Calibri"/>
          <w:b/>
          <w:i w:val="0"/>
          <w:color w:val="000000"/>
          <w:sz w:val="19"/>
        </w:rPr>
        <w:t>si ocurre o no un bloque de consumo fuerte durante el día</w:t>
      </w:r>
      <w:r>
        <w:rPr>
          <w:rFonts w:ascii="Calibri" w:hAnsi="Calibri"/>
          <w:b w:val="0"/>
          <w:i w:val="0"/>
          <w:color w:val="000000"/>
          <w:sz w:val="19"/>
        </w:rPr>
        <w:t>.</w:t>
      </w:r>
    </w:p>
    <w:p>
      <w:pPr>
        <w:keepNext/>
        <w:spacing w:before="320" w:after="140"/>
        <w:pBdr>
          <w:bottom w:val="single" w:sz="8" w:space="3" w:color="1F3864"/>
        </w:pBdr>
      </w:pPr>
      <w:r>
        <w:rPr>
          <w:rFonts w:ascii="Calibri" w:hAnsi="Calibri"/>
          <w:b/>
          <w:color w:val="1F3864"/>
          <w:sz w:val="28"/>
        </w:rPr>
        <w:t>Segunda técnica: clustering jerárquico (Ward)</w:t>
      </w:r>
    </w:p>
    <w:p>
      <w:pPr>
        <w:spacing w:before="0" w:after="120"/>
        <w:jc w:val="both"/>
      </w:pPr>
      <w:r>
        <w:rPr>
          <w:rFonts w:ascii="Calibri" w:hAnsi="Calibri"/>
          <w:b w:val="0"/>
          <w:i w:val="0"/>
          <w:color w:val="000000"/>
          <w:sz w:val="19"/>
        </w:rPr>
        <w:t>El criterio de cierre del proyecto exige al menos dos técnicas de clustering comparadas.</w:t>
      </w:r>
    </w:p>
    <w:p>
      <w:pPr>
        <w:keepNext/>
        <w:spacing w:before="120" w:after="40"/>
        <w:jc w:val="center"/>
      </w:pPr>
      <w:r>
        <w:drawing>
          <wp:inline xmlns:a="http://schemas.openxmlformats.org/drawingml/2006/main" xmlns:pic="http://schemas.openxmlformats.org/drawingml/2006/picture">
            <wp:extent cx="5760000" cy="1799245"/>
            <wp:docPr id="7" name="Picture 7"/>
            <wp:cNvGraphicFramePr>
              <a:graphicFrameLocks noChangeAspect="1"/>
            </wp:cNvGraphicFramePr>
            <a:graphic>
              <a:graphicData uri="http://schemas.openxmlformats.org/drawingml/2006/picture">
                <pic:pic>
                  <pic:nvPicPr>
                    <pic:cNvPr id="0" name="K6_dendrograma.png"/>
                    <pic:cNvPicPr/>
                  </pic:nvPicPr>
                  <pic:blipFill>
                    <a:blip r:embed="rId15"/>
                    <a:stretch>
                      <a:fillRect/>
                    </a:stretch>
                  </pic:blipFill>
                  <pic:spPr>
                    <a:xfrm>
                      <a:off x="0" y="0"/>
                      <a:ext cx="5760000" cy="1799245"/>
                    </a:xfrm>
                    <a:prstGeom prst="rect"/>
                  </pic:spPr>
                </pic:pic>
              </a:graphicData>
            </a:graphic>
          </wp:inline>
        </w:drawing>
      </w:r>
    </w:p>
    <w:p>
      <w:pPr>
        <w:spacing w:before="0" w:after="200"/>
        <w:jc w:val="center"/>
      </w:pPr>
      <w:r>
        <w:rPr>
          <w:rFonts w:ascii="Calibri" w:hAnsi="Calibri"/>
          <w:b w:val="0"/>
          <w:i/>
          <w:color w:val="666666"/>
          <w:sz w:val="17"/>
        </w:rPr>
        <w:t>Figura 7. Dendrograma de Ward. El salto de fusión más alto del árbol está justo en el corte de k = 2.</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680"/>
            <w:shd w:val="clear" w:color="auto" w:fill="1F3864"/>
          </w:tcPr>
          <w:p>
            <w:pPr>
              <w:spacing w:before="40" w:after="40"/>
              <w:jc w:val="center"/>
            </w:pPr>
            <w:r/>
            <w:r>
              <w:rPr>
                <w:rFonts w:ascii="Calibri" w:hAnsi="Calibri"/>
                <w:b/>
                <w:i w:val="0"/>
                <w:color w:val="FFFFFF"/>
                <w:sz w:val="18"/>
              </w:rPr>
              <w:t>k</w:t>
            </w:r>
          </w:p>
        </w:tc>
        <w:tc>
          <w:tcPr>
            <w:tcW w:type="dxa" w:w="2381"/>
            <w:shd w:val="clear" w:color="auto" w:fill="1F3864"/>
          </w:tcPr>
          <w:p>
            <w:pPr>
              <w:spacing w:before="40" w:after="40"/>
              <w:jc w:val="center"/>
            </w:pPr>
            <w:r/>
            <w:r>
              <w:rPr>
                <w:rFonts w:ascii="Calibri" w:hAnsi="Calibri"/>
                <w:b/>
                <w:i w:val="0"/>
                <w:color w:val="FFFFFF"/>
                <w:sz w:val="18"/>
              </w:rPr>
              <w:t>ARI K-Means vs Ward (nivel)</w:t>
            </w:r>
          </w:p>
        </w:tc>
        <w:tc>
          <w:tcPr>
            <w:tcW w:type="dxa" w:w="1928"/>
            <w:shd w:val="clear" w:color="auto" w:fill="1F3864"/>
          </w:tcPr>
          <w:p>
            <w:pPr>
              <w:spacing w:before="40" w:after="40"/>
              <w:jc w:val="center"/>
            </w:pPr>
            <w:r/>
            <w:r>
              <w:rPr>
                <w:rFonts w:ascii="Calibri" w:hAnsi="Calibri"/>
                <w:b/>
                <w:i w:val="0"/>
                <w:color w:val="FFFFFF"/>
                <w:sz w:val="18"/>
              </w:rPr>
              <w:t>Silueta Ward (nivel)</w:t>
            </w:r>
          </w:p>
        </w:tc>
        <w:tc>
          <w:tcPr>
            <w:tcW w:type="dxa" w:w="2041"/>
            <w:shd w:val="clear" w:color="auto" w:fill="1F3864"/>
          </w:tcPr>
          <w:p>
            <w:pPr>
              <w:spacing w:before="40" w:after="40"/>
              <w:jc w:val="center"/>
            </w:pPr>
            <w:r/>
            <w:r>
              <w:rPr>
                <w:rFonts w:ascii="Calibri" w:hAnsi="Calibri"/>
                <w:b/>
                <w:i w:val="0"/>
                <w:color w:val="FFFFFF"/>
                <w:sz w:val="18"/>
              </w:rPr>
              <w:t>Tamaños Ward</w:t>
            </w:r>
          </w:p>
        </w:tc>
        <w:tc>
          <w:tcPr>
            <w:tcW w:type="dxa" w:w="2381"/>
            <w:shd w:val="clear" w:color="auto" w:fill="1F3864"/>
          </w:tcPr>
          <w:p>
            <w:pPr>
              <w:spacing w:before="40" w:after="40"/>
              <w:jc w:val="center"/>
            </w:pPr>
            <w:r/>
            <w:r>
              <w:rPr>
                <w:rFonts w:ascii="Calibri" w:hAnsi="Calibri"/>
                <w:b/>
                <w:i w:val="0"/>
                <w:color w:val="FFFFFF"/>
                <w:sz w:val="18"/>
              </w:rPr>
              <w:t>ARI K-Means vs Ward (forma)</w:t>
            </w:r>
          </w:p>
        </w:tc>
      </w:tr>
      <w:tr>
        <w:tc>
          <w:tcPr>
            <w:tcW w:type="dxa" w:w="680"/>
            <w:shd w:val="clear" w:color="auto" w:fill="E8F3E8"/>
          </w:tcPr>
          <w:p>
            <w:pPr>
              <w:spacing w:before="40" w:after="40"/>
              <w:jc w:val="center"/>
            </w:pPr>
            <w:r/>
            <w:r>
              <w:rPr>
                <w:rFonts w:ascii="Calibri" w:hAnsi="Calibri"/>
                <w:b w:val="0"/>
                <w:i w:val="0"/>
                <w:color w:val="000000"/>
                <w:sz w:val="18"/>
              </w:rPr>
              <w:t>2</w:t>
            </w:r>
          </w:p>
        </w:tc>
        <w:tc>
          <w:tcPr>
            <w:tcW w:type="dxa" w:w="2381"/>
            <w:shd w:val="clear" w:color="auto" w:fill="E8F3E8"/>
          </w:tcPr>
          <w:p>
            <w:pPr>
              <w:spacing w:before="40" w:after="40"/>
              <w:jc w:val="center"/>
            </w:pPr>
            <w:r/>
            <w:r>
              <w:rPr>
                <w:rFonts w:ascii="Calibri" w:hAnsi="Calibri"/>
                <w:b/>
                <w:i w:val="0"/>
                <w:color w:val="000000"/>
                <w:sz w:val="18"/>
              </w:rPr>
              <w:t>0,736</w:t>
            </w:r>
          </w:p>
        </w:tc>
        <w:tc>
          <w:tcPr>
            <w:tcW w:type="dxa" w:w="1928"/>
            <w:shd w:val="clear" w:color="auto" w:fill="E8F3E8"/>
          </w:tcPr>
          <w:p>
            <w:pPr>
              <w:spacing w:before="40" w:after="40"/>
              <w:jc w:val="center"/>
            </w:pPr>
            <w:r/>
            <w:r>
              <w:rPr>
                <w:rFonts w:ascii="Calibri" w:hAnsi="Calibri"/>
                <w:b w:val="0"/>
                <w:i w:val="0"/>
                <w:color w:val="000000"/>
                <w:sz w:val="18"/>
              </w:rPr>
              <w:t>0,400</w:t>
            </w:r>
          </w:p>
        </w:tc>
        <w:tc>
          <w:tcPr>
            <w:tcW w:type="dxa" w:w="2041"/>
            <w:shd w:val="clear" w:color="auto" w:fill="E8F3E8"/>
          </w:tcPr>
          <w:p>
            <w:pPr>
              <w:spacing w:before="40" w:after="40"/>
              <w:jc w:val="center"/>
            </w:pPr>
            <w:r/>
            <w:r>
              <w:rPr>
                <w:rFonts w:ascii="Calibri" w:hAnsi="Calibri"/>
                <w:b w:val="0"/>
                <w:i w:val="0"/>
                <w:color w:val="000000"/>
                <w:sz w:val="18"/>
              </w:rPr>
              <w:t>114 / 22</w:t>
            </w:r>
          </w:p>
        </w:tc>
        <w:tc>
          <w:tcPr>
            <w:tcW w:type="dxa" w:w="2381"/>
            <w:shd w:val="clear" w:color="auto" w:fill="E8F3E8"/>
          </w:tcPr>
          <w:p>
            <w:pPr>
              <w:spacing w:before="40" w:after="40"/>
              <w:jc w:val="center"/>
            </w:pPr>
            <w:r/>
            <w:r>
              <w:rPr>
                <w:rFonts w:ascii="Calibri" w:hAnsi="Calibri"/>
                <w:b w:val="0"/>
                <w:i w:val="0"/>
                <w:color w:val="000000"/>
                <w:sz w:val="18"/>
              </w:rPr>
              <w:t>0,188</w:t>
            </w:r>
          </w:p>
        </w:tc>
      </w:tr>
      <w:tr>
        <w:tc>
          <w:tcPr>
            <w:tcW w:type="dxa" w:w="680"/>
            <w:shd w:val="clear" w:color="auto" w:fill="FAFAFA"/>
          </w:tcPr>
          <w:p>
            <w:pPr>
              <w:spacing w:before="40" w:after="40"/>
              <w:jc w:val="center"/>
            </w:pPr>
            <w:r/>
            <w:r>
              <w:rPr>
                <w:rFonts w:ascii="Calibri" w:hAnsi="Calibri"/>
                <w:b w:val="0"/>
                <w:i w:val="0"/>
                <w:color w:val="000000"/>
                <w:sz w:val="18"/>
              </w:rPr>
              <w:t>3</w:t>
            </w:r>
          </w:p>
        </w:tc>
        <w:tc>
          <w:tcPr>
            <w:tcW w:type="dxa" w:w="2381"/>
            <w:shd w:val="clear" w:color="auto" w:fill="FAFAFA"/>
          </w:tcPr>
          <w:p>
            <w:pPr>
              <w:spacing w:before="40" w:after="40"/>
              <w:jc w:val="center"/>
            </w:pPr>
            <w:r/>
            <w:r>
              <w:rPr>
                <w:rFonts w:ascii="Calibri" w:hAnsi="Calibri"/>
                <w:b w:val="0"/>
                <w:i w:val="0"/>
                <w:color w:val="000000"/>
                <w:sz w:val="18"/>
              </w:rPr>
              <w:t>0,796</w:t>
            </w:r>
          </w:p>
        </w:tc>
        <w:tc>
          <w:tcPr>
            <w:tcW w:type="dxa" w:w="1928"/>
            <w:shd w:val="clear" w:color="auto" w:fill="FAFAFA"/>
          </w:tcPr>
          <w:p>
            <w:pPr>
              <w:spacing w:before="40" w:after="40"/>
              <w:jc w:val="center"/>
            </w:pPr>
            <w:r/>
            <w:r>
              <w:rPr>
                <w:rFonts w:ascii="Calibri" w:hAnsi="Calibri"/>
                <w:b w:val="0"/>
                <w:i w:val="0"/>
                <w:color w:val="000000"/>
                <w:sz w:val="18"/>
              </w:rPr>
              <w:t>0,200</w:t>
            </w:r>
          </w:p>
        </w:tc>
        <w:tc>
          <w:tcPr>
            <w:tcW w:type="dxa" w:w="2041"/>
            <w:shd w:val="clear" w:color="auto" w:fill="FAFAFA"/>
          </w:tcPr>
          <w:p>
            <w:pPr>
              <w:spacing w:before="40" w:after="40"/>
              <w:jc w:val="center"/>
            </w:pPr>
            <w:r/>
            <w:r>
              <w:rPr>
                <w:rFonts w:ascii="Calibri" w:hAnsi="Calibri"/>
                <w:b w:val="0"/>
                <w:i w:val="0"/>
                <w:color w:val="000000"/>
                <w:sz w:val="18"/>
              </w:rPr>
              <w:t>86 / 28 / 22</w:t>
            </w:r>
          </w:p>
        </w:tc>
        <w:tc>
          <w:tcPr>
            <w:tcW w:type="dxa" w:w="2381"/>
            <w:shd w:val="clear" w:color="auto" w:fill="FAFAFA"/>
          </w:tcPr>
          <w:p>
            <w:pPr>
              <w:spacing w:before="40" w:after="40"/>
              <w:jc w:val="center"/>
            </w:pPr>
            <w:r/>
            <w:r>
              <w:rPr>
                <w:rFonts w:ascii="Calibri" w:hAnsi="Calibri"/>
                <w:b w:val="0"/>
                <w:i w:val="0"/>
                <w:color w:val="000000"/>
                <w:sz w:val="18"/>
              </w:rPr>
              <w:t>0,221</w:t>
            </w:r>
          </w:p>
        </w:tc>
      </w:tr>
      <w:tr>
        <w:tc>
          <w:tcPr>
            <w:tcW w:type="dxa" w:w="680"/>
          </w:tcPr>
          <w:p>
            <w:pPr>
              <w:spacing w:before="40" w:after="40"/>
              <w:jc w:val="center"/>
            </w:pPr>
            <w:r/>
            <w:r>
              <w:rPr>
                <w:rFonts w:ascii="Calibri" w:hAnsi="Calibri"/>
                <w:b w:val="0"/>
                <w:i w:val="0"/>
                <w:color w:val="000000"/>
                <w:sz w:val="18"/>
              </w:rPr>
              <w:t>4</w:t>
            </w:r>
          </w:p>
        </w:tc>
        <w:tc>
          <w:tcPr>
            <w:tcW w:type="dxa" w:w="2381"/>
          </w:tcPr>
          <w:p>
            <w:pPr>
              <w:spacing w:before="40" w:after="40"/>
              <w:jc w:val="center"/>
            </w:pPr>
            <w:r/>
            <w:r>
              <w:rPr>
                <w:rFonts w:ascii="Calibri" w:hAnsi="Calibri"/>
                <w:b w:val="0"/>
                <w:i w:val="0"/>
                <w:color w:val="000000"/>
                <w:sz w:val="18"/>
              </w:rPr>
              <w:t>0,543</w:t>
            </w:r>
          </w:p>
        </w:tc>
        <w:tc>
          <w:tcPr>
            <w:tcW w:type="dxa" w:w="1928"/>
          </w:tcPr>
          <w:p>
            <w:pPr>
              <w:spacing w:before="40" w:after="40"/>
              <w:jc w:val="center"/>
            </w:pPr>
            <w:r/>
            <w:r>
              <w:rPr>
                <w:rFonts w:ascii="Calibri" w:hAnsi="Calibri"/>
                <w:b w:val="0"/>
                <w:i w:val="0"/>
                <w:color w:val="000000"/>
                <w:sz w:val="18"/>
              </w:rPr>
              <w:t>0,141</w:t>
            </w:r>
          </w:p>
        </w:tc>
        <w:tc>
          <w:tcPr>
            <w:tcW w:type="dxa" w:w="2041"/>
          </w:tcPr>
          <w:p>
            <w:pPr>
              <w:spacing w:before="40" w:after="40"/>
              <w:jc w:val="center"/>
            </w:pPr>
            <w:r/>
            <w:r>
              <w:rPr>
                <w:rFonts w:ascii="Calibri" w:hAnsi="Calibri"/>
                <w:b w:val="0"/>
                <w:i w:val="0"/>
                <w:color w:val="000000"/>
                <w:sz w:val="18"/>
              </w:rPr>
              <w:t>61 / 28 / 25 / 22</w:t>
            </w:r>
          </w:p>
        </w:tc>
        <w:tc>
          <w:tcPr>
            <w:tcW w:type="dxa" w:w="2381"/>
          </w:tcPr>
          <w:p>
            <w:pPr>
              <w:spacing w:before="40" w:after="40"/>
              <w:jc w:val="center"/>
            </w:pPr>
            <w:r/>
            <w:r>
              <w:rPr>
                <w:rFonts w:ascii="Calibri" w:hAnsi="Calibri"/>
                <w:b w:val="0"/>
                <w:i w:val="0"/>
                <w:color w:val="000000"/>
                <w:sz w:val="18"/>
              </w:rPr>
              <w:t>0,372</w:t>
            </w:r>
          </w:p>
        </w:tc>
      </w:tr>
    </w:tbl>
    <w:p>
      <w:pPr>
        <w:spacing w:after="40"/>
      </w:pPr>
    </w:p>
    <w:p>
      <w:pPr>
        <w:spacing w:before="0" w:after="120"/>
        <w:jc w:val="both"/>
      </w:pPr>
      <w:r>
        <w:rPr>
          <w:rFonts w:ascii="Calibri" w:hAnsi="Calibri"/>
          <w:b/>
          <w:i w:val="0"/>
          <w:color w:val="000000"/>
          <w:sz w:val="19"/>
        </w:rPr>
        <w:t>Las dos técnicas encuentran los mismos tipos.</w:t>
      </w:r>
      <w:r>
        <w:rPr>
          <w:rFonts w:ascii="Calibri" w:hAnsi="Calibri"/>
          <w:b w:val="0"/>
          <w:i w:val="0"/>
          <w:color w:val="000000"/>
          <w:sz w:val="19"/>
        </w:rPr>
        <w:t xml:space="preserve"> Con el nivel, K-Means y Ward coinciden (ARI 0,736 con k = 2). Con la forma no se ponen de acuerdo (ARI 0,188): una «estructura» que depende del algoritmo es la señal de que no existe. Si dos métodos con supuestos distintos recortan los mismos grupos, el tipo de día es una propiedad de los datos y no un artefacto. </w:t>
      </w:r>
      <w:r>
        <w:rPr>
          <w:rFonts w:ascii="Calibri" w:hAnsi="Calibri"/>
          <w:b/>
          <w:i w:val="0"/>
          <w:color w:val="000000"/>
          <w:sz w:val="19"/>
        </w:rPr>
        <w:t>Criterio de cierre del proyecto «dos técnicas de clustering comparadas»: cumplido.</w:t>
      </w:r>
    </w:p>
    <w:p>
      <w:pPr>
        <w:keepNext/>
        <w:spacing w:before="320" w:after="140"/>
        <w:pBdr>
          <w:bottom w:val="single" w:sz="8" w:space="3" w:color="1F3864"/>
        </w:pBdr>
      </w:pPr>
      <w:r>
        <w:rPr>
          <w:rFonts w:ascii="Calibri" w:hAnsi="Calibri"/>
          <w:b/>
          <w:color w:val="1F3864"/>
          <w:sz w:val="28"/>
        </w:rPr>
        <w:t>Control temporal: ¿mayo trae tipos de día nuevos?</w:t>
      </w:r>
    </w:p>
    <w:p>
      <w:pPr>
        <w:spacing w:before="0" w:after="120"/>
        <w:jc w:val="both"/>
      </w:pPr>
      <w:r>
        <w:rPr>
          <w:rFonts w:ascii="Calibri" w:hAnsi="Calibri"/>
          <w:b w:val="0"/>
          <w:i w:val="0"/>
          <w:color w:val="000000"/>
          <w:sz w:val="19"/>
        </w:rPr>
        <w:t>Siguiendo la convención del proyecto, se ajustó K-Means solo con los 110 días hasta el 30 de abril y se asignaron los 26 días de mayo.</w:t>
      </w:r>
    </w:p>
    <w:p>
      <w:pPr>
        <w:keepNext/>
        <w:spacing w:before="120" w:after="40"/>
        <w:jc w:val="center"/>
      </w:pPr>
      <w:r>
        <w:drawing>
          <wp:inline xmlns:a="http://schemas.openxmlformats.org/drawingml/2006/main" xmlns:pic="http://schemas.openxmlformats.org/drawingml/2006/picture">
            <wp:extent cx="5760000" cy="1753043"/>
            <wp:docPr id="8" name="Picture 8"/>
            <wp:cNvGraphicFramePr>
              <a:graphicFrameLocks noChangeAspect="1"/>
            </wp:cNvGraphicFramePr>
            <a:graphic>
              <a:graphicData uri="http://schemas.openxmlformats.org/drawingml/2006/picture">
                <pic:pic>
                  <pic:nvPicPr>
                    <pic:cNvPr id="0" name="K7_mayo.png"/>
                    <pic:cNvPicPr/>
                  </pic:nvPicPr>
                  <pic:blipFill>
                    <a:blip r:embed="rId16"/>
                    <a:stretch>
                      <a:fillRect/>
                    </a:stretch>
                  </pic:blipFill>
                  <pic:spPr>
                    <a:xfrm>
                      <a:off x="0" y="0"/>
                      <a:ext cx="5760000" cy="1753043"/>
                    </a:xfrm>
                    <a:prstGeom prst="rect"/>
                  </pic:spPr>
                </pic:pic>
              </a:graphicData>
            </a:graphic>
          </wp:inline>
        </w:drawing>
      </w:r>
    </w:p>
    <w:p>
      <w:pPr>
        <w:spacing w:before="0" w:after="200"/>
        <w:jc w:val="center"/>
      </w:pPr>
      <w:r>
        <w:rPr>
          <w:rFonts w:ascii="Calibri" w:hAnsi="Calibri"/>
          <w:b w:val="0"/>
          <w:i/>
          <w:color w:val="666666"/>
          <w:sz w:val="17"/>
        </w:rPr>
        <w:t>Figura 8. Distancia de cada día a su centroide (izquierda) y proporción de días de carga alta (derecha).</w:t>
      </w:r>
    </w:p>
    <w:tbl>
      <w:tblPr>
        <w:tblStyle w:val="TableGrid"/>
        <w:tblW w:type="auto" w:w="0"/>
        <w:tblLook w:firstColumn="1" w:firstRow="1" w:lastColumn="0" w:lastRow="0" w:noHBand="0" w:noVBand="1" w:val="04A0"/>
      </w:tblPr>
      <w:tblGrid>
        <w:gridCol w:w="9746"/>
      </w:tblGrid>
      <w:tr>
        <w:tc>
          <w:tcPr>
            <w:tcW w:type="dxa" w:w="9746"/>
            <w:shd w:val="clear" w:color="auto" w:fill="FDF2E3"/>
          </w:tcPr>
          <w:p>
            <w:pPr>
              <w:spacing w:before="80" w:after="40"/>
            </w:pPr>
            <w:r/>
            <w:r>
              <w:rPr>
                <w:rFonts w:ascii="Calibri" w:hAnsi="Calibri"/>
                <w:b/>
                <w:color w:val="1F3864"/>
                <w:sz w:val="19"/>
              </w:rPr>
              <w:t xml:space="preserve">Los tipos de día no envejecen; su frecuencia sí.  </w:t>
            </w:r>
            <w:r>
              <w:rPr>
                <w:rFonts w:ascii="Calibri" w:hAnsi="Calibri"/>
                <w:b w:val="0"/>
                <w:i w:val="0"/>
                <w:color w:val="000000"/>
                <w:sz w:val="19"/>
              </w:rPr>
              <w:t xml:space="preserve">Ningún día de mayo cae más lejos de su centroide que el percentil 95 del entrenamiento (0 de 26): mayo no trae rutinas desconocidas. Pero la proporción de días de carga alta cae de </w:t>
            </w:r>
            <w:r>
              <w:rPr>
                <w:rFonts w:ascii="Calibri" w:hAnsi="Calibri"/>
                <w:b/>
                <w:i w:val="0"/>
                <w:color w:val="000000"/>
                <w:sz w:val="19"/>
              </w:rPr>
              <w:t>22,7 %</w:t>
            </w:r>
            <w:r>
              <w:rPr>
                <w:rFonts w:ascii="Calibri" w:hAnsi="Calibri"/>
                <w:b w:val="0"/>
                <w:i w:val="0"/>
                <w:color w:val="000000"/>
                <w:sz w:val="19"/>
              </w:rPr>
              <w:t xml:space="preserve"> a </w:t>
            </w:r>
            <w:r>
              <w:rPr>
                <w:rFonts w:ascii="Calibri" w:hAnsi="Calibri"/>
                <w:b/>
                <w:i w:val="0"/>
                <w:color w:val="000000"/>
                <w:sz w:val="19"/>
              </w:rPr>
              <w:t>11,5 %</w:t>
            </w:r>
            <w:r>
              <w:rPr>
                <w:rFonts w:ascii="Calibri" w:hAnsi="Calibri"/>
                <w:b w:val="0"/>
                <w:i w:val="0"/>
                <w:color w:val="000000"/>
                <w:sz w:val="19"/>
              </w:rPr>
              <w:t>. Es el mismo patrón que el parcial encontró en el umbral de anomalía: la definición se sostiene, la frecuencia cambia con la estación. En el MDP, el estado queda bien definido, pero la probabilidad de cada tipo en el simulador debe recalibrarse con el tiempo.</w:t>
            </w:r>
          </w:p>
        </w:tc>
      </w:tr>
    </w:tbl>
    <w:p>
      <w:pPr>
        <w:spacing w:after="40"/>
      </w:pPr>
    </w:p>
    <w:p>
      <w:pPr>
        <w:keepNext/>
        <w:spacing w:before="320" w:after="140"/>
        <w:pBdr>
          <w:bottom w:val="single" w:sz="8" w:space="3" w:color="1F3864"/>
        </w:pBdr>
      </w:pPr>
      <w:r>
        <w:rPr>
          <w:rFonts w:ascii="Calibri" w:hAnsi="Calibri"/>
          <w:b/>
          <w:color w:val="1F3864"/>
          <w:sz w:val="28"/>
        </w:rPr>
        <w:t>La pregunta que el enunciado no hace: ¿cuándo sabe el agente qué tipo de día es?</w:t>
      </w:r>
    </w:p>
    <w:p>
      <w:pPr>
        <w:spacing w:before="0" w:after="120"/>
        <w:jc w:val="both"/>
      </w:pPr>
      <w:r>
        <w:rPr>
          <w:rFonts w:ascii="Calibri" w:hAnsi="Calibri"/>
          <w:b w:val="0"/>
          <w:i w:val="0"/>
          <w:color w:val="000000"/>
          <w:sz w:val="19"/>
        </w:rPr>
        <w:t>El tipo de día se definió con la curva completa de 24 horas, pero el agente decide en tiempo real: a las 8 de la mañana no conoce la curva de las 18 h. Para medirlo, a cada hora se asignó cada día al centroide más cercano usando solo las horas ya observadas, y se comparó con su asignación final.</w:t>
      </w:r>
    </w:p>
    <w:p>
      <w:pPr>
        <w:keepNext/>
        <w:spacing w:before="120" w:after="40"/>
        <w:jc w:val="center"/>
      </w:pPr>
      <w:r>
        <w:drawing>
          <wp:inline xmlns:a="http://schemas.openxmlformats.org/drawingml/2006/main" xmlns:pic="http://schemas.openxmlformats.org/drawingml/2006/picture">
            <wp:extent cx="5760000" cy="2404034"/>
            <wp:docPr id="9" name="Picture 9"/>
            <wp:cNvGraphicFramePr>
              <a:graphicFrameLocks noChangeAspect="1"/>
            </wp:cNvGraphicFramePr>
            <a:graphic>
              <a:graphicData uri="http://schemas.openxmlformats.org/drawingml/2006/picture">
                <pic:pic>
                  <pic:nvPicPr>
                    <pic:cNvPr id="0" name="K8_observabilidad.png"/>
                    <pic:cNvPicPr/>
                  </pic:nvPicPr>
                  <pic:blipFill>
                    <a:blip r:embed="rId17"/>
                    <a:stretch>
                      <a:fillRect/>
                    </a:stretch>
                  </pic:blipFill>
                  <pic:spPr>
                    <a:xfrm>
                      <a:off x="0" y="0"/>
                      <a:ext cx="5760000" cy="2404034"/>
                    </a:xfrm>
                    <a:prstGeom prst="rect"/>
                  </pic:spPr>
                </pic:pic>
              </a:graphicData>
            </a:graphic>
          </wp:inline>
        </w:drawing>
      </w:r>
    </w:p>
    <w:p>
      <w:pPr>
        <w:spacing w:before="0" w:after="200"/>
        <w:jc w:val="center"/>
      </w:pPr>
      <w:r>
        <w:rPr>
          <w:rFonts w:ascii="Calibri" w:hAnsi="Calibri"/>
          <w:b w:val="0"/>
          <w:i/>
          <w:color w:val="666666"/>
          <w:sz w:val="17"/>
        </w:rPr>
        <w:t>Figura 9. Porcentaje de días bien asignados según la hora hasta la que se ha observado el día.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54"/>
            <w:shd w:val="clear" w:color="auto" w:fill="1F3864"/>
          </w:tcPr>
          <w:p>
            <w:pPr>
              <w:spacing w:before="40" w:after="40"/>
            </w:pPr>
            <w:r/>
            <w:r>
              <w:rPr>
                <w:rFonts w:ascii="Calibri" w:hAnsi="Calibri"/>
                <w:b/>
                <w:i w:val="0"/>
                <w:color w:val="FFFFFF"/>
                <w:sz w:val="18"/>
              </w:rPr>
              <w:t>Día observado hasta</w:t>
            </w:r>
          </w:p>
        </w:tc>
        <w:tc>
          <w:tcPr>
            <w:tcW w:type="dxa" w:w="2494"/>
            <w:shd w:val="clear" w:color="auto" w:fill="1F3864"/>
          </w:tcPr>
          <w:p>
            <w:pPr>
              <w:spacing w:before="40" w:after="40"/>
              <w:jc w:val="center"/>
            </w:pPr>
            <w:r/>
            <w:r>
              <w:rPr>
                <w:rFonts w:ascii="Calibri" w:hAnsi="Calibri"/>
                <w:b/>
                <w:i w:val="0"/>
                <w:color w:val="FFFFFF"/>
                <w:sz w:val="18"/>
              </w:rPr>
              <w:t>Días bien asignados (k = 2)</w:t>
            </w:r>
          </w:p>
        </w:tc>
        <w:tc>
          <w:tcPr>
            <w:tcW w:type="dxa" w:w="2608"/>
            <w:shd w:val="clear" w:color="auto" w:fill="1F3864"/>
          </w:tcPr>
          <w:p>
            <w:pPr>
              <w:spacing w:before="40" w:after="40"/>
              <w:jc w:val="center"/>
            </w:pPr>
            <w:r/>
            <w:r>
              <w:rPr>
                <w:rFonts w:ascii="Calibri" w:hAnsi="Calibri"/>
                <w:b/>
                <w:i w:val="0"/>
                <w:color w:val="FFFFFF"/>
                <w:sz w:val="18"/>
              </w:rPr>
              <w:t>Días de carga alta reconocidos</w:t>
            </w:r>
          </w:p>
        </w:tc>
        <w:tc>
          <w:tcPr>
            <w:tcW w:type="dxa" w:w="1474"/>
            <w:shd w:val="clear" w:color="auto" w:fill="1F3864"/>
          </w:tcPr>
          <w:p>
            <w:pPr>
              <w:spacing w:before="40" w:after="40"/>
              <w:jc w:val="center"/>
            </w:pPr>
            <w:r/>
            <w:r>
              <w:rPr>
                <w:rFonts w:ascii="Calibri" w:hAnsi="Calibri"/>
                <w:b/>
                <w:i w:val="0"/>
                <w:color w:val="FFFFFF"/>
                <w:sz w:val="18"/>
              </w:rPr>
              <w:t>k = 3</w:t>
            </w:r>
          </w:p>
        </w:tc>
      </w:tr>
      <w:tr>
        <w:tc>
          <w:tcPr>
            <w:tcW w:type="dxa" w:w="2154"/>
          </w:tcPr>
          <w:p>
            <w:pPr>
              <w:spacing w:before="40" w:after="40"/>
            </w:pPr>
            <w:r/>
            <w:r>
              <w:rPr>
                <w:rFonts w:ascii="Calibri" w:hAnsi="Calibri"/>
                <w:b w:val="0"/>
                <w:i w:val="0"/>
                <w:color w:val="000000"/>
                <w:sz w:val="18"/>
              </w:rPr>
              <w:t>las 8 h</w:t>
            </w:r>
          </w:p>
        </w:tc>
        <w:tc>
          <w:tcPr>
            <w:tcW w:type="dxa" w:w="2494"/>
          </w:tcPr>
          <w:p>
            <w:pPr>
              <w:spacing w:before="40" w:after="40"/>
              <w:jc w:val="center"/>
            </w:pPr>
            <w:r/>
            <w:r>
              <w:rPr>
                <w:rFonts w:ascii="Calibri" w:hAnsi="Calibri"/>
                <w:b w:val="0"/>
                <w:i w:val="0"/>
                <w:color w:val="000000"/>
                <w:sz w:val="18"/>
              </w:rPr>
              <w:t>72,1 %</w:t>
            </w:r>
          </w:p>
        </w:tc>
        <w:tc>
          <w:tcPr>
            <w:tcW w:type="dxa" w:w="2608"/>
          </w:tcPr>
          <w:p>
            <w:pPr>
              <w:spacing w:before="40" w:after="40"/>
              <w:jc w:val="center"/>
            </w:pPr>
            <w:r/>
            <w:r>
              <w:rPr>
                <w:rFonts w:ascii="Calibri" w:hAnsi="Calibri"/>
                <w:b w:val="0"/>
                <w:i w:val="0"/>
                <w:color w:val="000000"/>
                <w:sz w:val="18"/>
              </w:rPr>
              <w:t>50,0 %</w:t>
            </w:r>
          </w:p>
        </w:tc>
        <w:tc>
          <w:tcPr>
            <w:tcW w:type="dxa" w:w="1474"/>
          </w:tcPr>
          <w:p>
            <w:pPr>
              <w:spacing w:before="40" w:after="40"/>
              <w:jc w:val="center"/>
            </w:pPr>
            <w:r/>
            <w:r>
              <w:rPr>
                <w:rFonts w:ascii="Calibri" w:hAnsi="Calibri"/>
                <w:b w:val="0"/>
                <w:i w:val="0"/>
                <w:color w:val="000000"/>
                <w:sz w:val="18"/>
              </w:rPr>
              <w:t>59,6 %</w:t>
            </w:r>
          </w:p>
        </w:tc>
      </w:tr>
      <w:tr>
        <w:tc>
          <w:tcPr>
            <w:tcW w:type="dxa" w:w="2154"/>
            <w:shd w:val="clear" w:color="auto" w:fill="FAFAFA"/>
          </w:tcPr>
          <w:p>
            <w:pPr>
              <w:spacing w:before="40" w:after="40"/>
            </w:pPr>
            <w:r/>
            <w:r>
              <w:rPr>
                <w:rFonts w:ascii="Calibri" w:hAnsi="Calibri"/>
                <w:b w:val="0"/>
                <w:i w:val="0"/>
                <w:color w:val="000000"/>
                <w:sz w:val="18"/>
              </w:rPr>
              <w:t>las 9 h</w:t>
            </w:r>
          </w:p>
        </w:tc>
        <w:tc>
          <w:tcPr>
            <w:tcW w:type="dxa" w:w="2494"/>
            <w:shd w:val="clear" w:color="auto" w:fill="FAFAFA"/>
          </w:tcPr>
          <w:p>
            <w:pPr>
              <w:spacing w:before="40" w:after="40"/>
              <w:jc w:val="center"/>
            </w:pPr>
            <w:r/>
            <w:r>
              <w:rPr>
                <w:rFonts w:ascii="Calibri" w:hAnsi="Calibri"/>
                <w:b w:val="0"/>
                <w:i w:val="0"/>
                <w:color w:val="000000"/>
                <w:sz w:val="18"/>
              </w:rPr>
              <w:t>80,9 %</w:t>
            </w:r>
          </w:p>
        </w:tc>
        <w:tc>
          <w:tcPr>
            <w:tcW w:type="dxa" w:w="2608"/>
            <w:shd w:val="clear" w:color="auto" w:fill="FAFAFA"/>
          </w:tcPr>
          <w:p>
            <w:pPr>
              <w:spacing w:before="40" w:after="40"/>
              <w:jc w:val="center"/>
            </w:pPr>
            <w:r/>
            <w:r>
              <w:rPr>
                <w:rFonts w:ascii="Calibri" w:hAnsi="Calibri"/>
                <w:b w:val="0"/>
                <w:i w:val="0"/>
                <w:color w:val="000000"/>
                <w:sz w:val="18"/>
              </w:rPr>
              <w:t>60,7 %</w:t>
            </w:r>
          </w:p>
        </w:tc>
        <w:tc>
          <w:tcPr>
            <w:tcW w:type="dxa" w:w="1474"/>
            <w:shd w:val="clear" w:color="auto" w:fill="FAFAFA"/>
          </w:tcPr>
          <w:p>
            <w:pPr>
              <w:spacing w:before="40" w:after="40"/>
              <w:jc w:val="center"/>
            </w:pPr>
            <w:r/>
            <w:r>
              <w:rPr>
                <w:rFonts w:ascii="Calibri" w:hAnsi="Calibri"/>
                <w:b w:val="0"/>
                <w:i w:val="0"/>
                <w:color w:val="000000"/>
                <w:sz w:val="18"/>
              </w:rPr>
              <w:t>70,6 %</w:t>
            </w:r>
          </w:p>
        </w:tc>
      </w:tr>
      <w:tr>
        <w:tc>
          <w:tcPr>
            <w:tcW w:type="dxa" w:w="2154"/>
          </w:tcPr>
          <w:p>
            <w:pPr>
              <w:spacing w:before="40" w:after="40"/>
            </w:pPr>
            <w:r/>
            <w:r>
              <w:rPr>
                <w:rFonts w:ascii="Calibri" w:hAnsi="Calibri"/>
                <w:b w:val="0"/>
                <w:i w:val="0"/>
                <w:color w:val="000000"/>
                <w:sz w:val="18"/>
              </w:rPr>
              <w:t>las 12 h</w:t>
            </w:r>
          </w:p>
        </w:tc>
        <w:tc>
          <w:tcPr>
            <w:tcW w:type="dxa" w:w="2494"/>
          </w:tcPr>
          <w:p>
            <w:pPr>
              <w:spacing w:before="40" w:after="40"/>
              <w:jc w:val="center"/>
            </w:pPr>
            <w:r/>
            <w:r>
              <w:rPr>
                <w:rFonts w:ascii="Calibri" w:hAnsi="Calibri"/>
                <w:b w:val="0"/>
                <w:i w:val="0"/>
                <w:color w:val="000000"/>
                <w:sz w:val="18"/>
              </w:rPr>
              <w:t>90,4 %</w:t>
            </w:r>
          </w:p>
        </w:tc>
        <w:tc>
          <w:tcPr>
            <w:tcW w:type="dxa" w:w="2608"/>
          </w:tcPr>
          <w:p>
            <w:pPr>
              <w:spacing w:before="40" w:after="40"/>
              <w:jc w:val="center"/>
            </w:pPr>
            <w:r/>
            <w:r>
              <w:rPr>
                <w:rFonts w:ascii="Calibri" w:hAnsi="Calibri"/>
                <w:b/>
                <w:i w:val="0"/>
                <w:color w:val="000000"/>
                <w:sz w:val="18"/>
              </w:rPr>
              <w:t>89,3 %</w:t>
            </w:r>
          </w:p>
        </w:tc>
        <w:tc>
          <w:tcPr>
            <w:tcW w:type="dxa" w:w="1474"/>
          </w:tcPr>
          <w:p>
            <w:pPr>
              <w:spacing w:before="40" w:after="40"/>
              <w:jc w:val="center"/>
            </w:pPr>
            <w:r/>
            <w:r>
              <w:rPr>
                <w:rFonts w:ascii="Calibri" w:hAnsi="Calibri"/>
                <w:b w:val="0"/>
                <w:i w:val="0"/>
                <w:color w:val="000000"/>
                <w:sz w:val="18"/>
              </w:rPr>
              <w:t>84,6 %</w:t>
            </w:r>
          </w:p>
        </w:tc>
      </w:tr>
      <w:tr>
        <w:tc>
          <w:tcPr>
            <w:tcW w:type="dxa" w:w="2154"/>
            <w:shd w:val="clear" w:color="auto" w:fill="FAFAFA"/>
          </w:tcPr>
          <w:p>
            <w:pPr>
              <w:spacing w:before="40" w:after="40"/>
            </w:pPr>
            <w:r/>
            <w:r>
              <w:rPr>
                <w:rFonts w:ascii="Calibri" w:hAnsi="Calibri"/>
                <w:b w:val="0"/>
                <w:i w:val="0"/>
                <w:color w:val="000000"/>
                <w:sz w:val="18"/>
              </w:rPr>
              <w:t>las 17 h</w:t>
            </w:r>
          </w:p>
        </w:tc>
        <w:tc>
          <w:tcPr>
            <w:tcW w:type="dxa" w:w="2494"/>
            <w:shd w:val="clear" w:color="auto" w:fill="FAFAFA"/>
          </w:tcPr>
          <w:p>
            <w:pPr>
              <w:spacing w:before="40" w:after="40"/>
              <w:jc w:val="center"/>
            </w:pPr>
            <w:r/>
            <w:r>
              <w:rPr>
                <w:rFonts w:ascii="Calibri" w:hAnsi="Calibri"/>
                <w:b w:val="0"/>
                <w:i w:val="0"/>
                <w:color w:val="000000"/>
                <w:sz w:val="18"/>
              </w:rPr>
              <w:t>99,3 %</w:t>
            </w:r>
          </w:p>
        </w:tc>
        <w:tc>
          <w:tcPr>
            <w:tcW w:type="dxa" w:w="2608"/>
            <w:shd w:val="clear" w:color="auto" w:fill="FAFAFA"/>
          </w:tcPr>
          <w:p>
            <w:pPr>
              <w:spacing w:before="40" w:after="40"/>
              <w:jc w:val="center"/>
            </w:pPr>
            <w:r/>
            <w:r>
              <w:rPr>
                <w:rFonts w:ascii="Calibri" w:hAnsi="Calibri"/>
                <w:b w:val="0"/>
                <w:i w:val="0"/>
                <w:color w:val="000000"/>
                <w:sz w:val="18"/>
              </w:rPr>
              <w:t>100 %</w:t>
            </w:r>
          </w:p>
        </w:tc>
        <w:tc>
          <w:tcPr>
            <w:tcW w:type="dxa" w:w="1474"/>
            <w:shd w:val="clear" w:color="auto" w:fill="FAFAFA"/>
          </w:tcPr>
          <w:p>
            <w:pPr>
              <w:spacing w:before="40" w:after="40"/>
              <w:jc w:val="center"/>
            </w:pPr>
            <w:r/>
            <w:r>
              <w:rPr>
                <w:rFonts w:ascii="Calibri" w:hAnsi="Calibri"/>
                <w:b w:val="0"/>
                <w:i w:val="0"/>
                <w:color w:val="000000"/>
                <w:sz w:val="18"/>
              </w:rPr>
              <w:t>97,8 %</w:t>
            </w:r>
          </w:p>
        </w:tc>
      </w:tr>
    </w:tbl>
    <w:p>
      <w:pPr>
        <w:spacing w:after="40"/>
      </w:pPr>
    </w:p>
    <w:p>
      <w:pPr>
        <w:spacing w:before="0" w:after="120"/>
        <w:jc w:val="both"/>
      </w:pPr>
      <w:r>
        <w:rPr>
          <w:rFonts w:ascii="Calibri" w:hAnsi="Calibri"/>
          <w:b w:val="0"/>
          <w:i w:val="0"/>
          <w:color w:val="000000"/>
          <w:sz w:val="19"/>
        </w:rPr>
        <w:t xml:space="preserve">La línea base —decir siempre «día normal»— acierta el </w:t>
      </w:r>
      <w:r>
        <w:rPr>
          <w:rFonts w:ascii="Calibri" w:hAnsi="Calibri"/>
          <w:b/>
          <w:i w:val="0"/>
          <w:color w:val="000000"/>
          <w:sz w:val="19"/>
        </w:rPr>
        <w:t>79,4 %</w:t>
      </w:r>
      <w:r>
        <w:rPr>
          <w:rFonts w:ascii="Calibri" w:hAnsi="Calibri"/>
          <w:b w:val="0"/>
          <w:i w:val="0"/>
          <w:color w:val="000000"/>
          <w:sz w:val="19"/>
        </w:rPr>
        <w:t xml:space="preserve">. Mientras el agente solo ha visto hasta las 8 de la mañana, asignar con la curva parcial es </w:t>
      </w:r>
      <w:r>
        <w:rPr>
          <w:rFonts w:ascii="Calibri" w:hAnsi="Calibri"/>
          <w:b/>
          <w:i w:val="0"/>
          <w:color w:val="000000"/>
          <w:sz w:val="19"/>
        </w:rPr>
        <w:t>peor</w:t>
      </w:r>
      <w:r>
        <w:rPr>
          <w:rFonts w:ascii="Calibri" w:hAnsi="Calibri"/>
          <w:b w:val="0"/>
          <w:i w:val="0"/>
          <w:color w:val="000000"/>
          <w:sz w:val="19"/>
        </w:rPr>
        <w:t xml:space="preserve"> que esa línea base, porque las madrugadas de los dos tipos son idénticas. Con el día visto hasta las 9 h apenas la supera; hasta las 12 h reconoce 9 de cada 10 días de carga alta; hasta las 17 h el tipo queda fijado. Con k = 3 es peor en todo el recorrido.</w:t>
      </w:r>
    </w:p>
    <w:tbl>
      <w:tblPr>
        <w:tblStyle w:val="TableGrid"/>
        <w:tblW w:type="auto" w:w="0"/>
        <w:tblLook w:firstColumn="1" w:firstRow="1" w:lastColumn="0" w:lastRow="0" w:noHBand="0" w:noVBand="1" w:val="04A0"/>
      </w:tblPr>
      <w:tblGrid>
        <w:gridCol w:w="9746"/>
      </w:tblGrid>
      <w:tr>
        <w:tc>
          <w:tcPr>
            <w:tcW w:type="dxa" w:w="9746"/>
            <w:shd w:val="clear" w:color="auto" w:fill="E8F3E8"/>
          </w:tcPr>
          <w:p>
            <w:pPr>
              <w:spacing w:before="80" w:after="40"/>
            </w:pPr>
            <w:r/>
            <w:r>
              <w:rPr>
                <w:rFonts w:ascii="Calibri" w:hAnsi="Calibri"/>
                <w:b/>
                <w:color w:val="1F3864"/>
                <w:sz w:val="19"/>
              </w:rPr>
              <w:t xml:space="preserve">Consecuencia de diseño para el MDP.  </w:t>
            </w:r>
            <w:r>
              <w:rPr>
                <w:rFonts w:ascii="Calibri" w:hAnsi="Calibri"/>
                <w:b w:val="0"/>
                <w:i w:val="0"/>
                <w:color w:val="000000"/>
                <w:sz w:val="19"/>
              </w:rPr>
              <w:t xml:space="preserve">El tipo de día no puede entrar al estado como una etiqueta fija. Entra como una </w:t>
            </w:r>
            <w:r>
              <w:rPr>
                <w:rFonts w:ascii="Calibri" w:hAnsi="Calibri"/>
                <w:b/>
                <w:i w:val="0"/>
                <w:color w:val="000000"/>
                <w:sz w:val="19"/>
              </w:rPr>
              <w:t>estimación que se actualiza durante el día</w:t>
            </w:r>
            <w:r>
              <w:rPr>
                <w:rFonts w:ascii="Calibri" w:hAnsi="Calibri"/>
                <w:b w:val="0"/>
                <w:i w:val="0"/>
                <w:color w:val="000000"/>
                <w:sz w:val="19"/>
              </w:rPr>
              <w:t>: «desconocido» hasta media mañana, luego «normal» o «carga alta». Y el límite se declara con precisión: el día de carga alta tiene dos jorobas, a las 11 y a las 17 h. El tipo se revela con la primera, así que no sirve para anticiparla; pero se conoce a tiempo para la segunda, que es la ventana en la que diferir una carga tiene sentido.</w:t>
            </w:r>
          </w:p>
        </w:tc>
      </w:tr>
    </w:tbl>
    <w:p>
      <w:pPr>
        <w:spacing w:after="40"/>
      </w:pPr>
    </w:p>
    <w:p>
      <w:pPr>
        <w:keepNext/>
        <w:spacing w:before="320" w:after="140"/>
        <w:pBdr>
          <w:bottom w:val="single" w:sz="8" w:space="3" w:color="1F3864"/>
        </w:pBdr>
      </w:pPr>
      <w:r>
        <w:rPr>
          <w:rFonts w:ascii="Calibri" w:hAnsi="Calibri"/>
          <w:b/>
          <w:color w:val="1F3864"/>
          <w:sz w:val="28"/>
        </w:rPr>
        <w:t>Cierre — qué cambia en el diseño de Shiro</w:t>
      </w:r>
    </w:p>
    <w:p>
      <w:pPr>
        <w:spacing w:after="100"/>
        <w:ind w:left="397" w:hanging="397"/>
        <w:jc w:val="both"/>
      </w:pPr>
      <w:r>
        <w:rPr>
          <w:b/>
          <w:color w:val="1F3864"/>
          <w:sz w:val="19"/>
        </w:rPr>
        <w:t xml:space="preserve">1.  </w:t>
      </w:r>
      <w:r>
        <w:rPr>
          <w:rFonts w:ascii="Calibri" w:hAnsi="Calibri"/>
          <w:b/>
          <w:sz w:val="19"/>
        </w:rPr>
        <w:t xml:space="preserve">El estado del MDP tiene una variable «tipo de día» con dos valores. </w:t>
      </w:r>
      <w:r>
        <w:rPr>
          <w:rFonts w:ascii="Calibri" w:hAnsi="Calibri"/>
          <w:b w:val="0"/>
          <w:i w:val="0"/>
          <w:color w:val="000000"/>
          <w:sz w:val="19"/>
        </w:rPr>
        <w:t>Las tres métricas coinciden en k = 2 (silueta 0,392, Dunn 0,260), el jerárquico encuentra los mismos grupos (ARI 0,736), y es el k más barato para la tabla Q.</w:t>
      </w:r>
    </w:p>
    <w:p>
      <w:pPr>
        <w:spacing w:after="100"/>
        <w:ind w:left="397" w:hanging="397"/>
        <w:jc w:val="both"/>
      </w:pPr>
      <w:r>
        <w:rPr>
          <w:b/>
          <w:color w:val="1F3864"/>
          <w:sz w:val="19"/>
        </w:rPr>
        <w:t xml:space="preserve">2.  </w:t>
      </w:r>
      <w:r>
        <w:rPr>
          <w:rFonts w:ascii="Calibri" w:hAnsi="Calibri"/>
          <w:b/>
          <w:sz w:val="19"/>
        </w:rPr>
        <w:t xml:space="preserve">No se puede sustituir por el calendario. </w:t>
      </w:r>
      <w:r>
        <w:rPr>
          <w:rFonts w:ascii="Calibri" w:hAnsi="Calibri"/>
          <w:b w:val="0"/>
          <w:i w:val="0"/>
          <w:color w:val="000000"/>
          <w:sz w:val="19"/>
        </w:rPr>
        <w:t>Asociación nula con el fin de semana (V de Cramér = 0,000). Con solo es_fin_semana, el MDP perdería la única distinción entre días que esta casa sí tiene.</w:t>
      </w:r>
    </w:p>
    <w:p>
      <w:pPr>
        <w:spacing w:after="100"/>
        <w:ind w:left="397" w:hanging="397"/>
        <w:jc w:val="both"/>
      </w:pPr>
      <w:r>
        <w:rPr>
          <w:b/>
          <w:color w:val="1F3864"/>
          <w:sz w:val="19"/>
        </w:rPr>
        <w:t xml:space="preserve">3.  </w:t>
      </w:r>
      <w:r>
        <w:rPr>
          <w:rFonts w:ascii="Calibri" w:hAnsi="Calibri"/>
          <w:b/>
          <w:sz w:val="19"/>
        </w:rPr>
        <w:t xml:space="preserve">Entra como estimación, no como etiqueta. </w:t>
      </w:r>
      <w:r>
        <w:rPr>
          <w:rFonts w:ascii="Calibri" w:hAnsi="Calibri"/>
          <w:b w:val="0"/>
          <w:i w:val="0"/>
          <w:color w:val="000000"/>
          <w:sz w:val="19"/>
        </w:rPr>
        <w:t>Invisible hasta media mañana, fijada por la tarde. Se conoce con la primera joroba del día de carga alta (11 h), a tiempo para actuar sobre la segunda (17 h).</w:t>
      </w:r>
    </w:p>
    <w:p>
      <w:pPr>
        <w:spacing w:after="100"/>
        <w:ind w:left="397" w:hanging="397"/>
        <w:jc w:val="both"/>
      </w:pPr>
      <w:r>
        <w:rPr>
          <w:b/>
          <w:color w:val="1F3864"/>
          <w:sz w:val="19"/>
        </w:rPr>
        <w:t xml:space="preserve">4.  </w:t>
      </w:r>
      <w:r>
        <w:rPr>
          <w:rFonts w:ascii="Calibri" w:hAnsi="Calibri"/>
          <w:b/>
          <w:sz w:val="19"/>
        </w:rPr>
        <w:t xml:space="preserve">Los días de carga alta son decisiones de las personas, no del clima. </w:t>
      </w:r>
      <w:r>
        <w:rPr>
          <w:rFonts w:ascii="Calibri" w:hAnsi="Calibri"/>
          <w:b w:val="0"/>
          <w:i w:val="0"/>
          <w:color w:val="000000"/>
          <w:sz w:val="19"/>
        </w:rPr>
        <w:t>La temperatura no los distingue; el bloque diurno de consumo, la iluminación y la humedad de lavandería y cocina, sí. Son las cargas diferibles: ahí está el ahorro.</w:t>
      </w:r>
    </w:p>
    <w:p>
      <w:pPr>
        <w:spacing w:after="100"/>
        <w:ind w:left="397" w:hanging="397"/>
        <w:jc w:val="both"/>
      </w:pPr>
      <w:r>
        <w:rPr>
          <w:b/>
          <w:color w:val="1F3864"/>
          <w:sz w:val="19"/>
        </w:rPr>
        <w:t xml:space="preserve">5.  </w:t>
      </w:r>
      <w:r>
        <w:rPr>
          <w:rFonts w:ascii="Calibri" w:hAnsi="Calibri"/>
          <w:b/>
          <w:sz w:val="19"/>
        </w:rPr>
        <w:t xml:space="preserve">Los tipos son estables; su frecuencia no. </w:t>
      </w:r>
      <w:r>
        <w:rPr>
          <w:rFonts w:ascii="Calibri" w:hAnsi="Calibri"/>
          <w:b w:val="0"/>
          <w:i w:val="0"/>
          <w:color w:val="000000"/>
          <w:sz w:val="19"/>
        </w:rPr>
        <w:t>Los días de carga alta pasan del 22,7 % al 11,5 % en mayo: la probabilidad de cada tipo se recalibra con la misma periodicidad que el umbral de anomalía.</w:t>
      </w:r>
    </w:p>
    <w:p>
      <w:pPr>
        <w:spacing w:after="100"/>
        <w:ind w:left="397" w:hanging="397"/>
        <w:jc w:val="both"/>
      </w:pPr>
      <w:r>
        <w:rPr>
          <w:b/>
          <w:color w:val="1F3864"/>
          <w:sz w:val="19"/>
        </w:rPr>
        <w:t xml:space="preserve">6.  </w:t>
      </w:r>
      <w:r>
        <w:rPr>
          <w:rFonts w:ascii="Calibri" w:hAnsi="Calibri"/>
          <w:b/>
          <w:sz w:val="19"/>
        </w:rPr>
        <w:t xml:space="preserve">La hipótesis nivel → estación quedó refutada; forma → rutina, solo a medias. </w:t>
      </w:r>
      <w:r>
        <w:rPr>
          <w:rFonts w:ascii="Calibri" w:hAnsi="Calibri"/>
          <w:b w:val="0"/>
          <w:i w:val="0"/>
          <w:color w:val="000000"/>
          <w:sz w:val="19"/>
        </w:rPr>
        <w:t>Los días se diferencian por un bloque de actividad diurno que ni el calendario ni la estación anticipan.</w:t>
      </w:r>
    </w:p>
    <w:p>
      <w:pPr>
        <w:spacing w:after="100"/>
        <w:ind w:left="397" w:hanging="397"/>
        <w:jc w:val="both"/>
      </w:pPr>
      <w:r>
        <w:rPr>
          <w:b/>
          <w:color w:val="1F3864"/>
          <w:sz w:val="19"/>
        </w:rPr>
        <w:t xml:space="preserve">7.  </w:t>
      </w:r>
      <w:r>
        <w:rPr>
          <w:rFonts w:ascii="Calibri" w:hAnsi="Calibri"/>
          <w:b/>
          <w:sz w:val="19"/>
        </w:rPr>
        <w:t xml:space="preserve">Criterio de cierre del proyecto «dos técnicas de clustering comparadas»: cumplido.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