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555555"/>
          <w:sz w:val="19"/>
        </w:rPr>
        <w:t>APRENDIZAJE DE MÁQUINA · CORTE 2 · TALLER 3</w:t>
      </w:r>
    </w:p>
    <w:p>
      <w:pPr>
        <w:spacing w:after="40"/>
      </w:pPr>
      <w:r>
        <w:rPr>
          <w:rFonts w:ascii="Calibri" w:hAnsi="Calibri"/>
          <w:b/>
          <w:color w:val="1F3864"/>
          <w:sz w:val="38"/>
        </w:rPr>
        <w:t>Clustering jerárquico — ¿son reales los tipos de día de Shiro?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555555"/>
          <w:sz w:val="22"/>
        </w:rPr>
        <w:t>Tres enlaces, silueta de 2 a 10, dendrograma con corte y comparación con K-Means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1F3864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7143"/>
            <w:shd w:val="clear" w:color="auto" w:fill="1F3864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041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</w:t>
            </w:r>
          </w:p>
        </w:tc>
        <w:tc>
          <w:tcPr>
            <w:tcW w:type="dxa" w:w="7143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Shiro — Jose Leonardo Diazgranados, Sofía Londoño, Andrés Felipe Céspedes Rondón, Alex Duran</w:t>
            </w:r>
          </w:p>
        </w:tc>
      </w:tr>
      <w:tr>
        <w:tc>
          <w:tcPr>
            <w:tcW w:type="dxa" w:w="2041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Sector</w:t>
            </w:r>
          </w:p>
        </w:tc>
        <w:tc>
          <w:tcPr>
            <w:tcW w:type="dxa" w:w="7143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Energía y Medio Ambiente / IoT</w:t>
            </w:r>
          </w:p>
        </w:tc>
      </w:tr>
      <w:tr>
        <w:tc>
          <w:tcPr>
            <w:tcW w:type="dxa" w:w="2041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Docente</w:t>
            </w:r>
          </w:p>
        </w:tc>
        <w:tc>
          <w:tcPr>
            <w:tcW w:type="dxa" w:w="7143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Hernán Darío Cruz Bueno</w:t>
            </w:r>
          </w:p>
        </w:tc>
      </w:tr>
      <w:tr>
        <w:tc>
          <w:tcPr>
            <w:tcW w:type="dxa" w:w="2041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Dataset</w:t>
            </w:r>
          </w:p>
        </w:tc>
        <w:tc>
          <w:tcPr>
            <w:tcW w:type="dxa" w:w="7143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Appliances Energy Prediction (UCI #374) — 136 días completos</w:t>
            </w:r>
          </w:p>
        </w:tc>
      </w:tr>
      <w:tr>
        <w:tc>
          <w:tcPr>
            <w:tcW w:type="dxa" w:w="2041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Cuaderno</w:t>
            </w:r>
          </w:p>
        </w:tc>
        <w:tc>
          <w:tcPr>
            <w:tcW w:type="dxa" w:w="7143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Taller3_Jerarquico.ipynb — ejecutado de principio a fin; toda cifra sale de aquí</w:t>
            </w:r>
          </w:p>
        </w:tc>
      </w:tr>
      <w:tr>
        <w:tc>
          <w:tcPr>
            <w:tcW w:type="dxa" w:w="2041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Técnicas</w:t>
            </w:r>
          </w:p>
        </w:tc>
        <w:tc>
          <w:tcPr>
            <w:tcW w:type="dxa" w:w="7143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Aglomerativo (ward, complete, average) · fcluster · PCA · t-SNE · K-Means (referencia)</w:t>
            </w:r>
          </w:p>
        </w:tc>
      </w:tr>
      <w:tr>
        <w:tc>
          <w:tcPr>
            <w:tcW w:type="dxa" w:w="2041"/>
          </w:tcPr>
          <w:p>
            <w:pPr>
              <w:keepNext w:val="0"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Fecha</w:t>
            </w:r>
          </w:p>
        </w:tc>
        <w:tc>
          <w:tcPr>
            <w:tcW w:type="dxa" w:w="7143"/>
          </w:tcPr>
          <w:p>
            <w:pPr>
              <w:keepNext w:val="0"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28 de septiembre de 2026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8" w:space="3" w:color="1F3864"/>
        </w:pBdr>
      </w:pPr>
      <w:r>
        <w:rPr>
          <w:rFonts w:ascii="Calibri" w:hAnsi="Calibri"/>
          <w:b/>
          <w:color w:val="1F3864"/>
          <w:sz w:val="28"/>
        </w:rPr>
        <w:t>Qué componente de Shiro audita este taller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color w:val="000000"/>
          <w:sz w:val="19"/>
        </w:rPr>
        <w:t xml:space="preserve">El taller de K-Means le dio al estado del MDP su primera variable de rutina: el </w:t>
      </w:r>
      <w:r>
        <w:rPr>
          <w:rFonts w:ascii="Calibri" w:hAnsi="Calibri"/>
          <w:b/>
          <w:i w:val="0"/>
          <w:color w:val="000000"/>
          <w:sz w:val="19"/>
        </w:rPr>
        <w:t>tipo de día</w:t>
      </w:r>
      <w:r>
        <w:rPr>
          <w:rFonts w:ascii="Calibri" w:hAnsi="Calibri"/>
          <w:b w:val="0"/>
          <w:i w:val="0"/>
          <w:color w:val="000000"/>
          <w:sz w:val="19"/>
        </w:rPr>
        <w:t xml:space="preserve"> (normal o carga alta). Antes de que el agente dependa de ella hay que responder una pregunta incómoda: </w:t>
      </w:r>
      <w:r>
        <w:rPr>
          <w:rFonts w:ascii="Calibri" w:hAnsi="Calibri"/>
          <w:b/>
          <w:i w:val="0"/>
          <w:color w:val="000000"/>
          <w:sz w:val="19"/>
        </w:rPr>
        <w:t>K-Means siempre devuelve k grupos, existan o no.</w:t>
      </w:r>
      <w:r>
        <w:rPr>
          <w:rFonts w:ascii="Calibri" w:hAnsi="Calibri"/>
          <w:b w:val="0"/>
          <w:i w:val="0"/>
          <w:color w:val="000000"/>
          <w:sz w:val="19"/>
        </w:rPr>
        <w:t xml:space="preserve"> El clustering jerárquico es la auditoría natural. No parte de centroides, construye el árbol completo de fusiones y, según el enlace, aplica una definición distinta de qué es un grupo.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443"/>
            <w:shd w:val="clear" w:color="auto" w:fill="1F3864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Decisión de Shiro que depende de este taller</w:t>
            </w:r>
          </w:p>
        </w:tc>
        <w:tc>
          <w:tcPr>
            <w:tcW w:type="dxa" w:w="3742"/>
            <w:shd w:val="clear" w:color="auto" w:fill="1F3864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Dónde se resuelve</w:t>
            </w:r>
          </w:p>
        </w:tc>
      </w:tr>
      <w:tr>
        <w:tc>
          <w:tcPr>
            <w:tcW w:type="dxa" w:w="5443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¿El tipo de día es una propiedad de la casa o un artefacto de K-Means?</w:t>
            </w:r>
          </w:p>
        </w:tc>
        <w:tc>
          <w:tcPr>
            <w:tcW w:type="dxa" w:w="3742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§3 y §5: si tres enlaces llegan al mismo reparto</w:t>
            </w:r>
          </w:p>
        </w:tc>
      </w:tr>
      <w:tr>
        <w:tc>
          <w:tcPr>
            <w:tcW w:type="dxa" w:w="5443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¿Qué técnica asigna el tipo de día en producción, cuando llega un día nuevo?</w:t>
            </w:r>
          </w:p>
        </w:tc>
        <w:tc>
          <w:tcPr>
            <w:tcW w:type="dxa" w:w="3742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§6: comparación con criterios de producto</w:t>
            </w:r>
          </w:p>
        </w:tc>
      </w:tr>
      <w:tr>
        <w:tc>
          <w:tcPr>
            <w:tcW w:type="dxa" w:w="5443"/>
          </w:tcPr>
          <w:p>
            <w:pPr>
              <w:keepNext w:val="0"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¿Hay días que no pertenecen a ningún tipo?</w:t>
            </w:r>
          </w:p>
        </w:tc>
        <w:tc>
          <w:tcPr>
            <w:tcW w:type="dxa" w:w="3742"/>
          </w:tcPr>
          <w:p>
            <w:pPr>
              <w:keepNext w:val="0"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§5.2: los días que los enlaces aíslan</w:t>
            </w:r>
          </w:p>
        </w:tc>
      </w:tr>
    </w:tbl>
    <w:p>
      <w:pPr>
        <w:spacing w:after="40"/>
      </w:pP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color w:val="000000"/>
          <w:sz w:val="19"/>
        </w:rPr>
        <w:t xml:space="preserve">La unidad es la misma del taller de K-Means, </w:t>
      </w:r>
      <w:r>
        <w:rPr>
          <w:rFonts w:ascii="Calibri" w:hAnsi="Calibri"/>
          <w:b/>
          <w:i w:val="0"/>
          <w:color w:val="000000"/>
          <w:sz w:val="19"/>
        </w:rPr>
        <w:t>136 días × 24 medias horarias</w:t>
      </w:r>
      <w:r>
        <w:rPr>
          <w:rFonts w:ascii="Calibri" w:hAnsi="Calibri"/>
          <w:b w:val="0"/>
          <w:i w:val="0"/>
          <w:color w:val="000000"/>
          <w:sz w:val="19"/>
        </w:rPr>
        <w:t>, porque el enunciado pide comparar con K-Means y esa comparación solo es directa, día por día, sobre la misma matriz.</w:t>
      </w:r>
    </w:p>
    <w:p>
      <w:pPr>
        <w:keepNext/>
        <w:spacing w:before="320" w:after="140"/>
        <w:pBdr>
          <w:bottom w:val="single" w:sz="8" w:space="3" w:color="1F3864"/>
        </w:pBdr>
      </w:pPr>
      <w:r>
        <w:rPr>
          <w:rFonts w:ascii="Calibri" w:hAnsi="Calibri"/>
          <w:b/>
          <w:color w:val="1F3864"/>
          <w:sz w:val="28"/>
        </w:rPr>
        <w:t>1. Preparación del dataset</w:t>
      </w:r>
    </w:p>
    <w:p>
      <w:pPr>
        <w:spacing w:before="0" w:after="120"/>
        <w:jc w:val="both"/>
      </w:pPr>
      <w:r>
        <w:rPr>
          <w:rFonts w:ascii="Calibri" w:hAnsi="Calibri"/>
          <w:b/>
          <w:i w:val="0"/>
          <w:color w:val="000000"/>
          <w:sz w:val="19"/>
        </w:rPr>
        <w:t>Selección de variables.</w:t>
      </w:r>
      <w:r>
        <w:rPr>
          <w:rFonts w:ascii="Calibri" w:hAnsi="Calibri"/>
          <w:b w:val="0"/>
          <w:i w:val="0"/>
          <w:color w:val="000000"/>
          <w:sz w:val="19"/>
        </w:rPr>
        <w:t xml:space="preserve"> Se agrupa con la curva de consumo de 24 horas, y solo con ella. El taller de K-Means midió que ni el calendario (V de Cramér con el fin de semana = 0,000) ni el clima (ninguna variable con |d| &gt; 0,5) distinguen los tipos. Incluirlos no añadiría señal y crearía circularidad. Iluminación, humedades, temperatura y calendario se reservan para caracterizar los grupos después.</w:t>
      </w:r>
    </w:p>
    <w:p>
      <w:pPr>
        <w:spacing w:before="0" w:after="120"/>
        <w:jc w:val="both"/>
      </w:pPr>
      <w:r>
        <w:rPr>
          <w:rFonts w:ascii="Calibri" w:hAnsi="Calibri"/>
          <w:b/>
          <w:i w:val="0"/>
          <w:color w:val="000000"/>
          <w:sz w:val="19"/>
        </w:rPr>
        <w:t>Limpieza.</w:t>
      </w:r>
      <w:r>
        <w:rPr>
          <w:rFonts w:ascii="Calibri" w:hAnsi="Calibri"/>
          <w:b w:val="0"/>
          <w:i w:val="0"/>
          <w:color w:val="000000"/>
          <w:sz w:val="19"/>
        </w:rPr>
        <w:t xml:space="preserve"> El archivo no tiene valores faltantes. Se descartan los dos días incompletos (11-ene con 42 lecturas y 27-may con 109). Los días extremos </w:t>
      </w:r>
      <w:r>
        <w:rPr>
          <w:rFonts w:ascii="Calibri" w:hAnsi="Calibri"/>
          <w:b/>
          <w:i w:val="0"/>
          <w:color w:val="000000"/>
          <w:sz w:val="19"/>
        </w:rPr>
        <w:t>no se eliminan</w:t>
      </w:r>
      <w:r>
        <w:rPr>
          <w:rFonts w:ascii="Calibri" w:hAnsi="Calibri"/>
          <w:b w:val="0"/>
          <w:i w:val="0"/>
          <w:color w:val="000000"/>
          <w:sz w:val="19"/>
        </w:rPr>
        <w:t>: son parte del objeto de estudio. El más alejado de la curva mediana es el 4-abr (27,2 kWh), y el consumo diario va de 5,4 a 27,2 kWh (mediana 13,3).</w:t>
      </w:r>
    </w:p>
    <w:p>
      <w:pPr>
        <w:spacing w:before="0" w:after="120"/>
        <w:jc w:val="both"/>
      </w:pPr>
      <w:r>
        <w:rPr>
          <w:rFonts w:ascii="Calibri" w:hAnsi="Calibri"/>
          <w:b/>
          <w:i w:val="0"/>
          <w:color w:val="000000"/>
          <w:sz w:val="19"/>
        </w:rPr>
        <w:t>Escalado.</w:t>
      </w:r>
      <w:r>
        <w:rPr>
          <w:rFonts w:ascii="Calibri" w:hAnsi="Calibri"/>
          <w:b w:val="0"/>
          <w:i w:val="0"/>
          <w:color w:val="000000"/>
          <w:sz w:val="19"/>
        </w:rPr>
        <w:t xml:space="preserve"> Se aplica y se compara, no se da por hecho. Las 24 columnas están en Wh y su varianza va de </w:t>
      </w:r>
      <w:r>
        <w:rPr>
          <w:rFonts w:ascii="Calibri" w:hAnsi="Calibri"/>
          <w:b/>
          <w:i w:val="0"/>
          <w:color w:val="000000"/>
          <w:sz w:val="19"/>
        </w:rPr>
        <w:t>50</w:t>
      </w:r>
      <w:r>
        <w:rPr>
          <w:rFonts w:ascii="Calibri" w:hAnsi="Calibri"/>
          <w:b w:val="0"/>
          <w:i w:val="0"/>
          <w:color w:val="000000"/>
          <w:sz w:val="19"/>
        </w:rPr>
        <w:t xml:space="preserve"> (4 a. m.) a </w:t>
      </w:r>
      <w:r>
        <w:rPr>
          <w:rFonts w:ascii="Calibri" w:hAnsi="Calibri"/>
          <w:b/>
          <w:i w:val="0"/>
          <w:color w:val="000000"/>
          <w:sz w:val="19"/>
        </w:rPr>
        <w:t>12.477</w:t>
      </w:r>
      <w:r>
        <w:rPr>
          <w:rFonts w:ascii="Calibri" w:hAnsi="Calibri"/>
          <w:b w:val="0"/>
          <w:i w:val="0"/>
          <w:color w:val="000000"/>
          <w:sz w:val="19"/>
        </w:rPr>
        <w:t xml:space="preserve"> (11 a. m.), 248 veces. La versión principal es la curva en Wh; </w:t>
      </w:r>
      <w:r>
        <w:rPr>
          <w:rFonts w:ascii="Consolas" w:hAnsi="Consolas"/>
          <w:b w:val="0"/>
          <w:i w:val="0"/>
          <w:color w:val="000000"/>
          <w:sz w:val="17"/>
        </w:rPr>
        <w:t>StandardScaler</w:t>
      </w:r>
      <w:r>
        <w:rPr>
          <w:rFonts w:ascii="Calibri" w:hAnsi="Calibri"/>
          <w:b w:val="0"/>
          <w:i w:val="0"/>
          <w:color w:val="000000"/>
          <w:sz w:val="19"/>
        </w:rPr>
        <w:t xml:space="preserve"> se corre en paralelo como contraste, y en §3.3 se ve que aquí sí cambia el resultado.</w:t>
      </w:r>
    </w:p>
    <w:p>
      <w:pPr>
        <w:keepNext/>
        <w:spacing w:before="320" w:after="140"/>
        <w:pBdr>
          <w:bottom w:val="single" w:sz="8" w:space="3" w:color="1F3864"/>
        </w:pBdr>
      </w:pPr>
      <w:r>
        <w:rPr>
          <w:rFonts w:ascii="Calibri" w:hAnsi="Calibri"/>
          <w:b/>
          <w:color w:val="1F3864"/>
          <w:sz w:val="28"/>
        </w:rPr>
        <w:t>2. Aplicación del clustering jerárquico: tres definiciones de «grupo»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color="auto" w:fill="1F3864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Enlace</w:t>
            </w:r>
          </w:p>
        </w:tc>
        <w:tc>
          <w:tcPr>
            <w:tcW w:type="dxa" w:w="3175"/>
            <w:shd w:val="clear" w:color="auto" w:fill="1F3864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Distancia entre dos grupos</w:t>
            </w:r>
          </w:p>
        </w:tc>
        <w:tc>
          <w:tcPr>
            <w:tcW w:type="dxa" w:w="3402"/>
            <w:shd w:val="clear" w:color="auto" w:fill="1F3864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Qué favorece</w:t>
            </w:r>
          </w:p>
        </w:tc>
        <w:tc>
          <w:tcPr>
            <w:tcW w:type="dxa" w:w="1361"/>
            <w:shd w:val="clear" w:color="auto" w:fill="1F386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Cofenética</w:t>
            </w:r>
          </w:p>
        </w:tc>
      </w:tr>
      <w:tr>
        <w:tc>
          <w:tcPr>
            <w:tcW w:type="dxa" w:w="1247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Ward</w:t>
            </w:r>
          </w:p>
        </w:tc>
        <w:tc>
          <w:tcPr>
            <w:tcW w:type="dxa" w:w="3175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Aumento de la varianza interna al fusionar</w:t>
            </w:r>
          </w:p>
        </w:tc>
        <w:tc>
          <w:tcPr>
            <w:tcW w:type="dxa" w:w="3402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Grupos compactos (lo mismo que K-Means)</w:t>
            </w:r>
          </w:p>
        </w:tc>
        <w:tc>
          <w:tcPr>
            <w:tcW w:type="dxa" w:w="136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0,755</w:t>
            </w:r>
          </w:p>
        </w:tc>
      </w:tr>
      <w:tr>
        <w:tc>
          <w:tcPr>
            <w:tcW w:type="dxa" w:w="1247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Complete</w:t>
            </w:r>
          </w:p>
        </w:tc>
        <w:tc>
          <w:tcPr>
            <w:tcW w:type="dxa" w:w="3175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La mayor distancia entre un día de cada grupo</w:t>
            </w:r>
          </w:p>
        </w:tc>
        <w:tc>
          <w:tcPr>
            <w:tcW w:type="dxa" w:w="3402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Grupos de diámetro acotado</w:t>
            </w:r>
          </w:p>
        </w:tc>
        <w:tc>
          <w:tcPr>
            <w:tcW w:type="dxa" w:w="1361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0,808</w:t>
            </w:r>
          </w:p>
        </w:tc>
      </w:tr>
      <w:tr>
        <w:tc>
          <w:tcPr>
            <w:tcW w:type="dxa" w:w="1247"/>
          </w:tcPr>
          <w:p>
            <w:pPr>
              <w:keepNext w:val="0"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Average</w:t>
            </w:r>
          </w:p>
        </w:tc>
        <w:tc>
          <w:tcPr>
            <w:tcW w:type="dxa" w:w="3175"/>
          </w:tcPr>
          <w:p>
            <w:pPr>
              <w:keepNext w:val="0"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La distancia media entre todos los pares</w:t>
            </w:r>
          </w:p>
        </w:tc>
        <w:tc>
          <w:tcPr>
            <w:tcW w:type="dxa" w:w="3402"/>
          </w:tcPr>
          <w:p>
            <w:pPr>
              <w:keepNext w:val="0"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Deja para el final lo que está lejos de todo</w:t>
            </w:r>
          </w:p>
        </w:tc>
        <w:tc>
          <w:tcPr>
            <w:tcW w:type="dxa" w:w="1361"/>
          </w:tcPr>
          <w:p>
            <w:pPr>
              <w:keepNext w:val="0"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0,880</w:t>
            </w:r>
          </w:p>
        </w:tc>
      </w:tr>
    </w:tbl>
    <w:p>
      <w:pPr>
        <w:spacing w:after="40"/>
      </w:pP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color w:val="000000"/>
          <w:sz w:val="19"/>
        </w:rPr>
        <w:t xml:space="preserve">Ward es la auditoría </w:t>
      </w:r>
      <w:r>
        <w:rPr>
          <w:rFonts w:ascii="Calibri" w:hAnsi="Calibri"/>
          <w:b w:val="0"/>
          <w:i/>
          <w:color w:val="000000"/>
          <w:sz w:val="19"/>
        </w:rPr>
        <w:t>menos</w:t>
      </w:r>
      <w:r>
        <w:rPr>
          <w:rFonts w:ascii="Calibri" w:hAnsi="Calibri"/>
          <w:b w:val="0"/>
          <w:i w:val="0"/>
          <w:color w:val="000000"/>
          <w:sz w:val="19"/>
        </w:rPr>
        <w:t xml:space="preserve"> independiente, porque minimiza lo mismo que K-Means. </w:t>
      </w:r>
      <w:r>
        <w:rPr>
          <w:rFonts w:ascii="Calibri" w:hAnsi="Calibri"/>
          <w:b w:val="0"/>
          <w:i/>
          <w:color w:val="000000"/>
          <w:sz w:val="19"/>
        </w:rPr>
        <w:t>Complete</w:t>
      </w:r>
      <w:r>
        <w:rPr>
          <w:rFonts w:ascii="Calibri" w:hAnsi="Calibri"/>
          <w:b w:val="0"/>
          <w:i w:val="0"/>
          <w:color w:val="000000"/>
          <w:sz w:val="19"/>
        </w:rPr>
        <w:t xml:space="preserve"> y </w:t>
      </w:r>
      <w:r>
        <w:rPr>
          <w:rFonts w:ascii="Calibri" w:hAnsi="Calibri"/>
          <w:b w:val="0"/>
          <w:i/>
          <w:color w:val="000000"/>
          <w:sz w:val="19"/>
        </w:rPr>
        <w:t>average</w:t>
      </w:r>
      <w:r>
        <w:rPr>
          <w:rFonts w:ascii="Calibri" w:hAnsi="Calibri"/>
          <w:b w:val="0"/>
          <w:i w:val="0"/>
          <w:color w:val="000000"/>
          <w:sz w:val="19"/>
        </w:rPr>
        <w:t xml:space="preserve"> no comparten ese supuesto. La </w:t>
      </w:r>
      <w:r>
        <w:rPr>
          <w:rFonts w:ascii="Calibri" w:hAnsi="Calibri"/>
          <w:b/>
          <w:i w:val="0"/>
          <w:color w:val="000000"/>
          <w:sz w:val="19"/>
        </w:rPr>
        <w:t>correlación cofenética</w:t>
      </w:r>
      <w:r>
        <w:rPr>
          <w:rFonts w:ascii="Calibri" w:hAnsi="Calibri"/>
          <w:b w:val="0"/>
          <w:i w:val="0"/>
          <w:color w:val="000000"/>
          <w:sz w:val="19"/>
        </w:rPr>
        <w:t xml:space="preserve"> mide qué tan fielmente reproduce cada árbol las distancias originales entre días.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776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1_dendrogram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77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i/>
          <w:color w:val="666666"/>
          <w:sz w:val="17"/>
        </w:rPr>
        <w:t>Figura 1. Dendrogramas de los tres enlaces con su línea de corte (roja) en el k elegido. Colores: azul = día normal, naranja = día de carga alta.</w:t>
      </w:r>
    </w:p>
    <w:p>
      <w:pPr>
        <w:spacing w:before="0" w:after="120"/>
        <w:jc w:val="both"/>
      </w:pPr>
      <w:r>
        <w:rPr>
          <w:rFonts w:ascii="Calibri" w:hAnsi="Calibri"/>
          <w:b/>
          <w:i w:val="0"/>
          <w:color w:val="000000"/>
          <w:sz w:val="19"/>
        </w:rPr>
        <w:t>Cómo se leen.</w:t>
      </w:r>
      <w:r>
        <w:rPr>
          <w:rFonts w:ascii="Calibri" w:hAnsi="Calibri"/>
          <w:b w:val="0"/>
          <w:i w:val="0"/>
          <w:color w:val="000000"/>
          <w:sz w:val="19"/>
        </w:rPr>
        <w:t xml:space="preserve"> En </w:t>
      </w:r>
      <w:r>
        <w:rPr>
          <w:rFonts w:ascii="Calibri" w:hAnsi="Calibri"/>
          <w:b/>
          <w:i w:val="0"/>
          <w:color w:val="000000"/>
          <w:sz w:val="19"/>
        </w:rPr>
        <w:t>Ward</w:t>
      </w:r>
      <w:r>
        <w:rPr>
          <w:rFonts w:ascii="Calibri" w:hAnsi="Calibri"/>
          <w:b w:val="0"/>
          <w:i w:val="0"/>
          <w:color w:val="000000"/>
          <w:sz w:val="19"/>
        </w:rPr>
        <w:t xml:space="preserve"> la última fusión (2.851) está 1,78 veces por encima de la anterior: es el salto más claro, y el corte en 2.228 deja 114 días normales y 22 de carga alta. </w:t>
      </w:r>
      <w:r>
        <w:rPr>
          <w:rFonts w:ascii="Calibri" w:hAnsi="Calibri"/>
          <w:b/>
          <w:i w:val="0"/>
          <w:color w:val="000000"/>
          <w:sz w:val="19"/>
        </w:rPr>
        <w:t>Complete</w:t>
      </w:r>
      <w:r>
        <w:rPr>
          <w:rFonts w:ascii="Calibri" w:hAnsi="Calibri"/>
          <w:b w:val="0"/>
          <w:i w:val="0"/>
          <w:color w:val="000000"/>
          <w:sz w:val="19"/>
        </w:rPr>
        <w:t xml:space="preserve"> llega al mismo tamaño de grupos con un salto menor (×1,23), y su rama naranja termina de unirse casi a la altura de la fusión final: los días de carga alta están casi tan lejos entre sí como de los normales. </w:t>
      </w:r>
      <w:r>
        <w:rPr>
          <w:rFonts w:ascii="Calibri" w:hAnsi="Calibri"/>
          <w:b/>
          <w:i w:val="0"/>
          <w:color w:val="000000"/>
          <w:sz w:val="19"/>
        </w:rPr>
        <w:t>Average</w:t>
      </w:r>
      <w:r>
        <w:rPr>
          <w:rFonts w:ascii="Calibri" w:hAnsi="Calibri"/>
          <w:b w:val="0"/>
          <w:i w:val="0"/>
          <w:color w:val="000000"/>
          <w:sz w:val="19"/>
        </w:rPr>
        <w:t xml:space="preserve"> es una </w:t>
      </w:r>
      <w:r>
        <w:rPr>
          <w:rFonts w:ascii="Calibri" w:hAnsi="Calibri"/>
          <w:b/>
          <w:i w:val="0"/>
          <w:color w:val="000000"/>
          <w:sz w:val="19"/>
        </w:rPr>
        <w:t>cadena</w:t>
      </w:r>
      <w:r>
        <w:rPr>
          <w:rFonts w:ascii="Calibri" w:hAnsi="Calibri"/>
          <w:b w:val="0"/>
          <w:i w:val="0"/>
          <w:color w:val="000000"/>
          <w:sz w:val="19"/>
        </w:rPr>
        <w:t>: los días se suman uno a uno a un gran grupo y la última fusión (×1,06) solo añade el 24 de enero.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before="80" w:after="40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 xml:space="preserve">La paradoja de la correlación cofenética.  </w:t>
            </w: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Average es el árbol que mejor conserva las distancias entre días (0,880) y es el que produce la partición inútil. Conservar distancias no es lo mismo que encontrar grupos: cuando los datos son una nube central con una periferia dispersa, el árbol más fiel es una cadena.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8" w:space="3" w:color="1F3864"/>
        </w:pBdr>
      </w:pPr>
      <w:r>
        <w:rPr>
          <w:rFonts w:ascii="Calibri" w:hAnsi="Calibri"/>
          <w:b/>
          <w:color w:val="1F3864"/>
          <w:sz w:val="28"/>
        </w:rPr>
        <w:t>3. Evaluación del número de clústeres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555555"/>
          <w:sz w:val="20"/>
        </w:rPr>
        <w:t>3.1 Silhouette Score para k entre 2 y 10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color w:val="000000"/>
          <w:sz w:val="19"/>
        </w:rPr>
        <w:t xml:space="preserve">Para cada enlace se corta el árbol con </w:t>
      </w:r>
      <w:r>
        <w:rPr>
          <w:rFonts w:ascii="Consolas" w:hAnsi="Consolas"/>
          <w:b w:val="0"/>
          <w:i w:val="0"/>
          <w:color w:val="000000"/>
          <w:sz w:val="17"/>
        </w:rPr>
        <w:t>fcluster(Z, k, criterion="maxclust")</w:t>
      </w:r>
      <w:r>
        <w:rPr>
          <w:rFonts w:ascii="Calibri" w:hAnsi="Calibri"/>
          <w:b w:val="0"/>
          <w:i w:val="0"/>
          <w:color w:val="000000"/>
          <w:sz w:val="19"/>
        </w:rPr>
        <w:t xml:space="preserve">. Se añade una columna que el enunciado no pide y que resulta decisiva: el </w:t>
      </w:r>
      <w:r>
        <w:rPr>
          <w:rFonts w:ascii="Calibri" w:hAnsi="Calibri"/>
          <w:b/>
          <w:i w:val="0"/>
          <w:color w:val="000000"/>
          <w:sz w:val="19"/>
        </w:rPr>
        <w:t>tamaño del clúster más pequeño</w:t>
      </w:r>
      <w:r>
        <w:rPr>
          <w:rFonts w:ascii="Calibri" w:hAnsi="Calibri"/>
          <w:b w:val="0"/>
          <w:i w:val="0"/>
          <w:color w:val="000000"/>
          <w:sz w:val="19"/>
        </w:rPr>
        <w:t xml:space="preserve">. </w:t>
      </w:r>
      <w:r>
        <w:rPr>
          <w:rFonts w:ascii="Calibri" w:hAnsi="Calibri"/>
          <w:b/>
          <w:i w:val="0"/>
          <w:color w:val="000000"/>
          <w:sz w:val="19"/>
        </w:rPr>
        <w:t>Criterio de Shiro:</w:t>
      </w:r>
      <w:r>
        <w:rPr>
          <w:rFonts w:ascii="Calibri" w:hAnsi="Calibri"/>
          <w:b w:val="0"/>
          <w:i w:val="0"/>
          <w:color w:val="000000"/>
          <w:sz w:val="19"/>
        </w:rPr>
        <w:t xml:space="preserve"> ningún tipo de día puede tener menos del 5 % de los días (7 días), porque un estado que casi no ocurre no lo puede aprender el agente ni estimarlo el simulador.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17268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_silue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i/>
          <w:color w:val="666666"/>
          <w:sz w:val="17"/>
        </w:rPr>
        <w:t>Figura 2. Silueta para k = 2…10 con la curva en Wh (izquierda) y estandarizada (derecha). Marcador hueco: la partición tiene algún clúster de menos de 7 días.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680"/>
            <w:shd w:val="clear" w:color="auto" w:fill="1F386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</w:t>
            </w:r>
          </w:p>
        </w:tc>
        <w:tc>
          <w:tcPr>
            <w:tcW w:type="dxa" w:w="1361"/>
            <w:shd w:val="clear" w:color="auto" w:fill="1F386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Ward</w:t>
            </w:r>
          </w:p>
        </w:tc>
        <w:tc>
          <w:tcPr>
            <w:tcW w:type="dxa" w:w="1361"/>
            <w:shd w:val="clear" w:color="auto" w:fill="1F386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Complete</w:t>
            </w:r>
          </w:p>
        </w:tc>
        <w:tc>
          <w:tcPr>
            <w:tcW w:type="dxa" w:w="1361"/>
            <w:shd w:val="clear" w:color="auto" w:fill="1F386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Average</w:t>
            </w:r>
          </w:p>
        </w:tc>
        <w:tc>
          <w:tcPr>
            <w:tcW w:type="dxa" w:w="2835"/>
            <w:shd w:val="clear" w:color="auto" w:fill="1F386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Clúster más pequeño (W / C / A)</w:t>
            </w:r>
          </w:p>
        </w:tc>
      </w:tr>
      <w:tr>
        <w:tc>
          <w:tcPr>
            <w:tcW w:type="dxa" w:w="680"/>
            <w:shd w:val="clear" w:color="auto" w:fill="E8F3E8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61"/>
            <w:shd w:val="clear" w:color="auto" w:fill="E8F3E8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0,400</w:t>
            </w:r>
          </w:p>
        </w:tc>
        <w:tc>
          <w:tcPr>
            <w:tcW w:type="dxa" w:w="1361"/>
            <w:shd w:val="clear" w:color="auto" w:fill="E8F3E8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0,414</w:t>
            </w:r>
          </w:p>
        </w:tc>
        <w:tc>
          <w:tcPr>
            <w:tcW w:type="dxa" w:w="1361"/>
            <w:shd w:val="clear" w:color="auto" w:fill="E8F3E8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0,423</w:t>
            </w:r>
          </w:p>
        </w:tc>
        <w:tc>
          <w:tcPr>
            <w:tcW w:type="dxa" w:w="2835"/>
            <w:shd w:val="clear" w:color="auto" w:fill="E8F3E8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 xml:space="preserve">22 / 22 / </w:t>
            </w: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680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361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0,200</w:t>
            </w:r>
          </w:p>
        </w:tc>
        <w:tc>
          <w:tcPr>
            <w:tcW w:type="dxa" w:w="1361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0,401</w:t>
            </w:r>
          </w:p>
        </w:tc>
        <w:tc>
          <w:tcPr>
            <w:tcW w:type="dxa" w:w="1361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0,371</w:t>
            </w:r>
          </w:p>
        </w:tc>
        <w:tc>
          <w:tcPr>
            <w:tcW w:type="dxa" w:w="2835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22 / 2 / 1</w:t>
            </w:r>
          </w:p>
        </w:tc>
      </w:tr>
      <w:tr>
        <w:tc>
          <w:tcPr>
            <w:tcW w:type="dxa" w:w="680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36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0,141</w:t>
            </w:r>
          </w:p>
        </w:tc>
        <w:tc>
          <w:tcPr>
            <w:tcW w:type="dxa" w:w="136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0,381</w:t>
            </w:r>
          </w:p>
        </w:tc>
        <w:tc>
          <w:tcPr>
            <w:tcW w:type="dxa" w:w="136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0,373</w:t>
            </w:r>
          </w:p>
        </w:tc>
        <w:tc>
          <w:tcPr>
            <w:tcW w:type="dxa" w:w="2835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22 / 2 / 1</w:t>
            </w:r>
          </w:p>
        </w:tc>
      </w:tr>
      <w:tr>
        <w:tc>
          <w:tcPr>
            <w:tcW w:type="dxa" w:w="680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361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0,146</w:t>
            </w:r>
          </w:p>
        </w:tc>
        <w:tc>
          <w:tcPr>
            <w:tcW w:type="dxa" w:w="1361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0,113</w:t>
            </w:r>
          </w:p>
        </w:tc>
        <w:tc>
          <w:tcPr>
            <w:tcW w:type="dxa" w:w="1361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0,339</w:t>
            </w:r>
          </w:p>
        </w:tc>
        <w:tc>
          <w:tcPr>
            <w:tcW w:type="dxa" w:w="2835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 / 2 / 1</w:t>
            </w:r>
          </w:p>
        </w:tc>
      </w:tr>
      <w:tr>
        <w:tc>
          <w:tcPr>
            <w:tcW w:type="dxa" w:w="680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36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0,150</w:t>
            </w:r>
          </w:p>
        </w:tc>
        <w:tc>
          <w:tcPr>
            <w:tcW w:type="dxa" w:w="136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0,116</w:t>
            </w:r>
          </w:p>
        </w:tc>
        <w:tc>
          <w:tcPr>
            <w:tcW w:type="dxa" w:w="136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0,329</w:t>
            </w:r>
          </w:p>
        </w:tc>
        <w:tc>
          <w:tcPr>
            <w:tcW w:type="dxa" w:w="2835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 / 2 / 1</w:t>
            </w:r>
          </w:p>
        </w:tc>
      </w:tr>
      <w:tr>
        <w:tc>
          <w:tcPr>
            <w:tcW w:type="dxa" w:w="680"/>
            <w:shd w:val="clear" w:color="auto" w:fill="FAFAFA"/>
          </w:tcPr>
          <w:p>
            <w:pPr>
              <w:keepNext w:val="0"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61"/>
            <w:shd w:val="clear" w:color="auto" w:fill="FAFAFA"/>
          </w:tcPr>
          <w:p>
            <w:pPr>
              <w:keepNext w:val="0"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0,110</w:t>
            </w:r>
          </w:p>
        </w:tc>
        <w:tc>
          <w:tcPr>
            <w:tcW w:type="dxa" w:w="1361"/>
            <w:shd w:val="clear" w:color="auto" w:fill="FAFAFA"/>
          </w:tcPr>
          <w:p>
            <w:pPr>
              <w:keepNext w:val="0"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0,150</w:t>
            </w:r>
          </w:p>
        </w:tc>
        <w:tc>
          <w:tcPr>
            <w:tcW w:type="dxa" w:w="1361"/>
            <w:shd w:val="clear" w:color="auto" w:fill="FAFAFA"/>
          </w:tcPr>
          <w:p>
            <w:pPr>
              <w:keepNext w:val="0"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0,319</w:t>
            </w:r>
          </w:p>
        </w:tc>
        <w:tc>
          <w:tcPr>
            <w:tcW w:type="dxa" w:w="2835"/>
            <w:shd w:val="clear" w:color="auto" w:fill="FAFAFA"/>
          </w:tcPr>
          <w:p>
            <w:pPr>
              <w:keepNext w:val="0"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/ 2 / 1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F2E3"/>
          </w:tcPr>
          <w:p>
            <w:pPr>
              <w:spacing w:before="80" w:after="40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 xml:space="preserve">La trampa: la mejor silueta de toda la tabla es la peor partición.  </w:t>
            </w: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 xml:space="preserve">Average obtiene la silueta más alta, </w:t>
            </w: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0,423</w:t>
            </w: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 xml:space="preserve">, separando </w:t>
            </w: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un solo día</w:t>
            </w: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 xml:space="preserve"> (el 24 de enero) de los otros 135, y deja un clúster de un día en todo el rango de 2 a 10. El índice de Dunn cae en la misma trampa (0,475, el máximo). Las métricas miden qué tan separados están los grupos, pero Shiro pregunta otra cosa: si la partición sirve como variable de estado. </w:t>
            </w: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Con la regla del tamaño mínimo, Ward y complete eligen k = 2 (114 / 22) y average no produce ninguna partición utilizable.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555555"/>
          <w:sz w:val="20"/>
        </w:rPr>
        <w:t>3.2 k óptimo, línea de corte y fcluster()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color w:val="000000"/>
          <w:sz w:val="19"/>
        </w:rPr>
        <w:t>La línea de corte se traza a medio camino entre la fusión que deja k grupos y la siguiente. Se verificó que cortar por altura (</w:t>
      </w:r>
      <w:r>
        <w:rPr>
          <w:rFonts w:ascii="Consolas" w:hAnsi="Consolas"/>
          <w:b w:val="0"/>
          <w:i w:val="0"/>
          <w:color w:val="000000"/>
          <w:sz w:val="17"/>
        </w:rPr>
        <w:t>criterion="distance"</w:t>
      </w:r>
      <w:r>
        <w:rPr>
          <w:rFonts w:ascii="Calibri" w:hAnsi="Calibri"/>
          <w:b w:val="0"/>
          <w:i w:val="0"/>
          <w:color w:val="000000"/>
          <w:sz w:val="19"/>
        </w:rPr>
        <w:t>) y por número (</w:t>
      </w:r>
      <w:r>
        <w:rPr>
          <w:rFonts w:ascii="Consolas" w:hAnsi="Consolas"/>
          <w:b w:val="0"/>
          <w:i w:val="0"/>
          <w:color w:val="000000"/>
          <w:sz w:val="17"/>
        </w:rPr>
        <w:t>criterion="maxclust"</w:t>
      </w:r>
      <w:r>
        <w:rPr>
          <w:rFonts w:ascii="Calibri" w:hAnsi="Calibri"/>
          <w:b w:val="0"/>
          <w:i w:val="0"/>
          <w:color w:val="000000"/>
          <w:sz w:val="19"/>
        </w:rPr>
        <w:t xml:space="preserve">) dan </w:t>
      </w:r>
      <w:r>
        <w:rPr>
          <w:rFonts w:ascii="Calibri" w:hAnsi="Calibri"/>
          <w:b/>
          <w:i w:val="0"/>
          <w:color w:val="000000"/>
          <w:sz w:val="19"/>
        </w:rPr>
        <w:t>exactamente</w:t>
      </w:r>
      <w:r>
        <w:rPr>
          <w:rFonts w:ascii="Calibri" w:hAnsi="Calibri"/>
          <w:b w:val="0"/>
          <w:i w:val="0"/>
          <w:color w:val="000000"/>
          <w:sz w:val="19"/>
        </w:rPr>
        <w:t xml:space="preserve"> las mismas etiquetas en los tres enlaces.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1"/>
            <w:shd w:val="clear" w:color="auto" w:fill="1F3864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Enlace</w:t>
            </w:r>
          </w:p>
        </w:tc>
        <w:tc>
          <w:tcPr>
            <w:tcW w:type="dxa" w:w="1701"/>
            <w:shd w:val="clear" w:color="auto" w:fill="1F386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 elegido</w:t>
            </w:r>
          </w:p>
        </w:tc>
        <w:tc>
          <w:tcPr>
            <w:tcW w:type="dxa" w:w="1701"/>
            <w:shd w:val="clear" w:color="auto" w:fill="1F386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Altura del corte</w:t>
            </w:r>
          </w:p>
        </w:tc>
        <w:tc>
          <w:tcPr>
            <w:tcW w:type="dxa" w:w="1587"/>
            <w:shd w:val="clear" w:color="auto" w:fill="1F386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Reparto</w:t>
            </w:r>
          </w:p>
        </w:tc>
        <w:tc>
          <w:tcPr>
            <w:tcW w:type="dxa" w:w="2608"/>
            <w:shd w:val="clear" w:color="auto" w:fill="1F386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Salto de la última fusión</w:t>
            </w:r>
          </w:p>
        </w:tc>
      </w:tr>
      <w:tr>
        <w:tc>
          <w:tcPr>
            <w:tcW w:type="dxa" w:w="1361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Ward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2.228,1</w:t>
            </w:r>
          </w:p>
        </w:tc>
        <w:tc>
          <w:tcPr>
            <w:tcW w:type="dxa" w:w="1587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114 / 22</w:t>
            </w:r>
          </w:p>
        </w:tc>
        <w:tc>
          <w:tcPr>
            <w:tcW w:type="dxa" w:w="2608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×1,78</w:t>
            </w:r>
          </w:p>
        </w:tc>
      </w:tr>
      <w:tr>
        <w:tc>
          <w:tcPr>
            <w:tcW w:type="dxa" w:w="1361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Complete</w:t>
            </w:r>
          </w:p>
        </w:tc>
        <w:tc>
          <w:tcPr>
            <w:tcW w:type="dxa" w:w="1701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1.078,9</w:t>
            </w:r>
          </w:p>
        </w:tc>
        <w:tc>
          <w:tcPr>
            <w:tcW w:type="dxa" w:w="1587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114 / 22</w:t>
            </w:r>
          </w:p>
        </w:tc>
        <w:tc>
          <w:tcPr>
            <w:tcW w:type="dxa" w:w="2608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×1,23</w:t>
            </w:r>
          </w:p>
        </w:tc>
      </w:tr>
      <w:tr>
        <w:tc>
          <w:tcPr>
            <w:tcW w:type="dxa" w:w="1361"/>
          </w:tcPr>
          <w:p>
            <w:pPr>
              <w:keepNext w:val="0"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Average</w:t>
            </w:r>
          </w:p>
        </w:tc>
        <w:tc>
          <w:tcPr>
            <w:tcW w:type="dxa" w:w="1701"/>
          </w:tcPr>
          <w:p>
            <w:pPr>
              <w:keepNext w:val="0"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 (solo silueta)</w:t>
            </w:r>
          </w:p>
        </w:tc>
        <w:tc>
          <w:tcPr>
            <w:tcW w:type="dxa" w:w="1701"/>
          </w:tcPr>
          <w:p>
            <w:pPr>
              <w:keepNext w:val="0"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766,3</w:t>
            </w:r>
          </w:p>
        </w:tc>
        <w:tc>
          <w:tcPr>
            <w:tcW w:type="dxa" w:w="1587"/>
          </w:tcPr>
          <w:p>
            <w:pPr>
              <w:keepNext w:val="0"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135 / 1</w:t>
            </w:r>
          </w:p>
        </w:tc>
        <w:tc>
          <w:tcPr>
            <w:tcW w:type="dxa" w:w="2608"/>
          </w:tcPr>
          <w:p>
            <w:pPr>
              <w:keepNext w:val="0"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×1,06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555555"/>
          <w:sz w:val="20"/>
        </w:rPr>
        <w:t>3.3 ¿Qué cambia si se estandariza?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color w:val="000000"/>
          <w:sz w:val="19"/>
        </w:rPr>
        <w:t xml:space="preserve">En K-Means estandarizar no cambiaba nada (ARI 1,000). En el jerárquico lo cambia casi todo. </w:t>
      </w:r>
      <w:r>
        <w:rPr>
          <w:rFonts w:ascii="Calibri" w:hAnsi="Calibri"/>
          <w:b/>
          <w:i w:val="0"/>
          <w:color w:val="000000"/>
          <w:sz w:val="19"/>
        </w:rPr>
        <w:t>Ward</w:t>
      </w:r>
      <w:r>
        <w:rPr>
          <w:rFonts w:ascii="Calibri" w:hAnsi="Calibri"/>
          <w:b w:val="0"/>
          <w:i w:val="0"/>
          <w:color w:val="000000"/>
          <w:sz w:val="19"/>
        </w:rPr>
        <w:t xml:space="preserve"> pasa de 114 / 22 a 105 / 31 (ARI 0,655 con su versión en Wh). </w:t>
      </w:r>
      <w:r>
        <w:rPr>
          <w:rFonts w:ascii="Calibri" w:hAnsi="Calibri"/>
          <w:b/>
          <w:i w:val="0"/>
          <w:color w:val="000000"/>
          <w:sz w:val="19"/>
        </w:rPr>
        <w:t>Complete</w:t>
      </w:r>
      <w:r>
        <w:rPr>
          <w:rFonts w:ascii="Calibri" w:hAnsi="Calibri"/>
          <w:b w:val="0"/>
          <w:i w:val="0"/>
          <w:color w:val="000000"/>
          <w:sz w:val="19"/>
        </w:rPr>
        <w:t xml:space="preserve"> se vuelve degenerado (134 / 2, ARI −0,022) y su silueta </w:t>
      </w:r>
      <w:r>
        <w:rPr>
          <w:rFonts w:ascii="Calibri" w:hAnsi="Calibri"/>
          <w:b w:val="0"/>
          <w:i/>
          <w:color w:val="000000"/>
          <w:sz w:val="19"/>
        </w:rPr>
        <w:t>sube</w:t>
      </w:r>
      <w:r>
        <w:rPr>
          <w:rFonts w:ascii="Calibri" w:hAnsi="Calibri"/>
          <w:b w:val="0"/>
          <w:i w:val="0"/>
          <w:color w:val="000000"/>
          <w:sz w:val="19"/>
        </w:rPr>
        <w:t xml:space="preserve"> a 0,517. </w:t>
      </w:r>
      <w:r>
        <w:rPr>
          <w:rFonts w:ascii="Calibri" w:hAnsi="Calibri"/>
          <w:b/>
          <w:i w:val="0"/>
          <w:color w:val="000000"/>
          <w:sz w:val="19"/>
        </w:rPr>
        <w:t>Average</w:t>
      </w:r>
      <w:r>
        <w:rPr>
          <w:rFonts w:ascii="Calibri" w:hAnsi="Calibri"/>
          <w:b w:val="0"/>
          <w:i w:val="0"/>
          <w:color w:val="000000"/>
          <w:sz w:val="19"/>
        </w:rPr>
        <w:t xml:space="preserve"> sigue aislando un día. La causa: estandarizar multiplica por unas 16 la importancia de cada Wh de madrugada. K-Means promedia muchos días y la diferencia diurna sigue dominando, mientras que </w:t>
      </w:r>
      <w:r>
        <w:rPr>
          <w:rFonts w:ascii="Calibri" w:hAnsi="Calibri"/>
          <w:b w:val="0"/>
          <w:i/>
          <w:color w:val="000000"/>
          <w:sz w:val="19"/>
        </w:rPr>
        <w:t>complete</w:t>
      </w:r>
      <w:r>
        <w:rPr>
          <w:rFonts w:ascii="Calibri" w:hAnsi="Calibri"/>
          <w:b w:val="0"/>
          <w:i w:val="0"/>
          <w:color w:val="000000"/>
          <w:sz w:val="19"/>
        </w:rPr>
        <w:t xml:space="preserve"> y </w:t>
      </w:r>
      <w:r>
        <w:rPr>
          <w:rFonts w:ascii="Calibri" w:hAnsi="Calibri"/>
          <w:b w:val="0"/>
          <w:i/>
          <w:color w:val="000000"/>
          <w:sz w:val="19"/>
        </w:rPr>
        <w:t>average</w:t>
      </w:r>
      <w:r>
        <w:rPr>
          <w:rFonts w:ascii="Calibri" w:hAnsi="Calibri"/>
          <w:b w:val="0"/>
          <w:i w:val="0"/>
          <w:color w:val="000000"/>
          <w:sz w:val="19"/>
        </w:rPr>
        <w:t xml:space="preserve"> deciden por distancias entre días concretos. Con la versión estandarizada quedan aislados el </w:t>
      </w:r>
      <w:r>
        <w:rPr>
          <w:rFonts w:ascii="Calibri" w:hAnsi="Calibri"/>
          <w:b/>
          <w:i w:val="0"/>
          <w:color w:val="000000"/>
          <w:sz w:val="19"/>
        </w:rPr>
        <w:t>12-ene</w:t>
      </w:r>
      <w:r>
        <w:rPr>
          <w:rFonts w:ascii="Calibri" w:hAnsi="Calibri"/>
          <w:b w:val="0"/>
          <w:i w:val="0"/>
          <w:color w:val="000000"/>
          <w:sz w:val="19"/>
        </w:rPr>
        <w:t xml:space="preserve"> (168 Wh a la 1 de la mañana, 9,4 desviaciones sobre lo normal a esa hora) y el </w:t>
      </w:r>
      <w:r>
        <w:rPr>
          <w:rFonts w:ascii="Calibri" w:hAnsi="Calibri"/>
          <w:b/>
          <w:i w:val="0"/>
          <w:color w:val="000000"/>
          <w:sz w:val="19"/>
        </w:rPr>
        <w:t>26-ene</w:t>
      </w:r>
      <w:r>
        <w:rPr>
          <w:rFonts w:ascii="Calibri" w:hAnsi="Calibri"/>
          <w:b w:val="0"/>
          <w:i w:val="0"/>
          <w:color w:val="000000"/>
          <w:sz w:val="19"/>
        </w:rPr>
        <w:t xml:space="preserve"> (197 Wh a medianoche). </w:t>
      </w:r>
      <w:r>
        <w:rPr>
          <w:rFonts w:ascii="Calibri" w:hAnsi="Calibri"/>
          <w:b/>
          <w:i w:val="0"/>
          <w:color w:val="000000"/>
          <w:sz w:val="19"/>
        </w:rPr>
        <w:t>Decisión:</w:t>
      </w:r>
      <w:r>
        <w:rPr>
          <w:rFonts w:ascii="Calibri" w:hAnsi="Calibri"/>
          <w:b w:val="0"/>
          <w:i w:val="0"/>
          <w:color w:val="000000"/>
          <w:sz w:val="19"/>
        </w:rPr>
        <w:t xml:space="preserve"> la curva en Wh queda como principal.</w:t>
      </w:r>
    </w:p>
    <w:p>
      <w:pPr>
        <w:keepNext/>
        <w:spacing w:before="320" w:after="140"/>
        <w:pBdr>
          <w:bottom w:val="single" w:sz="8" w:space="3" w:color="1F3864"/>
        </w:pBdr>
      </w:pPr>
      <w:r>
        <w:rPr>
          <w:rFonts w:ascii="Calibri" w:hAnsi="Calibri"/>
          <w:b/>
          <w:color w:val="1F3864"/>
          <w:sz w:val="28"/>
        </w:rPr>
        <w:t>4. Visualización en 2D: PCA y t-SNE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color w:val="000000"/>
          <w:sz w:val="19"/>
        </w:rPr>
        <w:t>Se reutilizan las proyecciones del taller de K-Means (misma semilla y perplexity 15), así que cada día está en el mismo lugar y la comparación es punto a punto. PCA retiene el 50,1 % de la varianza (37,2 % + 12,9 %).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995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4_proyeccio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99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i/>
          <w:color w:val="666666"/>
          <w:sz w:val="17"/>
        </w:rPr>
        <w:t>Figura 3. Arriba PCA, abajo t-SNE. Rombos con borde negro: días cuyo tipo difiere del de K-Means. Punto rojo: el día que average aísla.</w:t>
      </w:r>
    </w:p>
    <w:p>
      <w:pPr>
        <w:spacing w:before="0" w:after="120"/>
        <w:jc w:val="both"/>
      </w:pPr>
      <w:r>
        <w:rPr>
          <w:rFonts w:ascii="Calibri" w:hAnsi="Calibri"/>
          <w:b/>
          <w:i w:val="0"/>
          <w:color w:val="000000"/>
          <w:sz w:val="19"/>
        </w:rPr>
        <w:t>Ward y complete dibujan la misma frontera que K-Means:</w:t>
      </w:r>
      <w:r>
        <w:rPr>
          <w:rFonts w:ascii="Calibri" w:hAnsi="Calibri"/>
          <w:b w:val="0"/>
          <w:i w:val="0"/>
          <w:color w:val="000000"/>
          <w:sz w:val="19"/>
        </w:rPr>
        <w:t xml:space="preserve"> días normales densos a la izquierda y días de carga alta dispersos hacia la derecha, a lo largo de PC1 («cuánto se consume de día»). Los 8 días que cambian de grupo están todos en la zona de contacto, ninguno en el interior de una nube. </w:t>
      </w:r>
      <w:r>
        <w:rPr>
          <w:rFonts w:ascii="Calibri" w:hAnsi="Calibri"/>
          <w:b w:val="0"/>
          <w:i/>
          <w:color w:val="000000"/>
          <w:sz w:val="19"/>
        </w:rPr>
        <w:t>Average</w:t>
      </w:r>
      <w:r>
        <w:rPr>
          <w:rFonts w:ascii="Calibri" w:hAnsi="Calibri"/>
          <w:b w:val="0"/>
          <w:i w:val="0"/>
          <w:color w:val="000000"/>
          <w:sz w:val="19"/>
        </w:rPr>
        <w:t xml:space="preserve"> pinta de azul a los 28 días de carga alta y deja un único punto rojo en el borde. t-SNE confirma la lectura sin revelar estructura nueva: la diferencia entre tipos es de intensidad, una dirección lineal que PCA ya captura.</w:t>
      </w:r>
    </w:p>
    <w:p>
      <w:pPr>
        <w:keepNext/>
        <w:spacing w:before="320" w:after="140"/>
        <w:pBdr>
          <w:bottom w:val="single" w:sz="8" w:space="3" w:color="1F3864"/>
        </w:pBdr>
      </w:pPr>
      <w:r>
        <w:rPr>
          <w:rFonts w:ascii="Calibri" w:hAnsi="Calibri"/>
          <w:b/>
          <w:color w:val="1F3864"/>
          <w:sz w:val="28"/>
        </w:rPr>
        <w:t>5. Análisis: qué tienen en común los días de cada grupo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555555"/>
          <w:sz w:val="20"/>
        </w:rPr>
        <w:t>5.1 Caracterización con variables que no entraron al clustering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608"/>
            <w:shd w:val="clear" w:color="auto" w:fill="1F3864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 (media)</w:t>
            </w:r>
          </w:p>
        </w:tc>
        <w:tc>
          <w:tcPr>
            <w:tcW w:type="dxa" w:w="2041"/>
            <w:shd w:val="clear" w:color="auto" w:fill="1F386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Ward · normal (114)</w:t>
            </w:r>
          </w:p>
        </w:tc>
        <w:tc>
          <w:tcPr>
            <w:tcW w:type="dxa" w:w="2154"/>
            <w:shd w:val="clear" w:color="auto" w:fill="1F386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Ward · carga alta (22)</w:t>
            </w:r>
          </w:p>
        </w:tc>
        <w:tc>
          <w:tcPr>
            <w:tcW w:type="dxa" w:w="2381"/>
            <w:shd w:val="clear" w:color="auto" w:fill="1F386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K-Means (108 / 28)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Consumo diario (kWh)</w:t>
            </w:r>
          </w:p>
        </w:tc>
        <w:tc>
          <w:tcPr>
            <w:tcW w:type="dxa" w:w="204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12,6</w:t>
            </w:r>
          </w:p>
        </w:tc>
        <w:tc>
          <w:tcPr>
            <w:tcW w:type="dxa" w:w="215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21,6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12,2 / 20,9</w:t>
            </w:r>
          </w:p>
        </w:tc>
      </w:tr>
      <w:tr>
        <w:tc>
          <w:tcPr>
            <w:tcW w:type="dxa" w:w="2608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Wh medio por hora, 8–18 h</w:t>
            </w:r>
          </w:p>
        </w:tc>
        <w:tc>
          <w:tcPr>
            <w:tcW w:type="dxa" w:w="2041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98,5</w:t>
            </w:r>
          </w:p>
        </w:tc>
        <w:tc>
          <w:tcPr>
            <w:tcW w:type="dxa" w:w="2154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241,8</w:t>
            </w:r>
          </w:p>
        </w:tc>
        <w:tc>
          <w:tcPr>
            <w:tcW w:type="dxa" w:w="2381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93,3 / 231,1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Hora pico media</w:t>
            </w:r>
          </w:p>
        </w:tc>
        <w:tc>
          <w:tcPr>
            <w:tcW w:type="dxa" w:w="204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15,2</w:t>
            </w:r>
          </w:p>
        </w:tc>
        <w:tc>
          <w:tcPr>
            <w:tcW w:type="dxa" w:w="215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13,2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15,3 / 13,1</w:t>
            </w:r>
          </w:p>
        </w:tc>
      </w:tr>
      <w:tr>
        <w:tc>
          <w:tcPr>
            <w:tcW w:type="dxa" w:w="2608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lights (Wh/día)</w:t>
            </w:r>
          </w:p>
        </w:tc>
        <w:tc>
          <w:tcPr>
            <w:tcW w:type="dxa" w:w="2041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2154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645</w:t>
            </w:r>
          </w:p>
        </w:tc>
        <w:tc>
          <w:tcPr>
            <w:tcW w:type="dxa" w:w="2381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502 / 697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RH_1 cocina (%)</w:t>
            </w:r>
          </w:p>
        </w:tc>
        <w:tc>
          <w:tcPr>
            <w:tcW w:type="dxa" w:w="204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39,9</w:t>
            </w:r>
          </w:p>
        </w:tc>
        <w:tc>
          <w:tcPr>
            <w:tcW w:type="dxa" w:w="215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41,7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39,9 / 41,3</w:t>
            </w:r>
          </w:p>
        </w:tc>
      </w:tr>
      <w:tr>
        <w:tc>
          <w:tcPr>
            <w:tcW w:type="dxa" w:w="2608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RH_3 lavandería (%)</w:t>
            </w:r>
          </w:p>
        </w:tc>
        <w:tc>
          <w:tcPr>
            <w:tcW w:type="dxa" w:w="2041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39,0</w:t>
            </w:r>
          </w:p>
        </w:tc>
        <w:tc>
          <w:tcPr>
            <w:tcW w:type="dxa" w:w="2154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40,3</w:t>
            </w:r>
          </w:p>
        </w:tc>
        <w:tc>
          <w:tcPr>
            <w:tcW w:type="dxa" w:w="2381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38,9 / 40,3</w:t>
            </w:r>
          </w:p>
        </w:tc>
      </w:tr>
      <w:tr>
        <w:tc>
          <w:tcPr>
            <w:tcW w:type="dxa" w:w="2608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T_out (°C)</w:t>
            </w:r>
          </w:p>
        </w:tc>
        <w:tc>
          <w:tcPr>
            <w:tcW w:type="dxa" w:w="204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7,2</w:t>
            </w:r>
          </w:p>
        </w:tc>
        <w:tc>
          <w:tcPr>
            <w:tcW w:type="dxa" w:w="215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8,2</w:t>
            </w:r>
          </w:p>
        </w:tc>
        <w:tc>
          <w:tcPr>
            <w:tcW w:type="dxa" w:w="238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7,4 / 7,3</w:t>
            </w:r>
          </w:p>
        </w:tc>
      </w:tr>
      <w:tr>
        <w:tc>
          <w:tcPr>
            <w:tcW w:type="dxa" w:w="2608"/>
            <w:shd w:val="clear" w:color="auto" w:fill="FAFAFA"/>
          </w:tcPr>
          <w:p>
            <w:pPr>
              <w:keepNext w:val="0"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% fin de semana</w:t>
            </w:r>
          </w:p>
        </w:tc>
        <w:tc>
          <w:tcPr>
            <w:tcW w:type="dxa" w:w="2041"/>
            <w:shd w:val="clear" w:color="auto" w:fill="FAFAFA"/>
          </w:tcPr>
          <w:p>
            <w:pPr>
              <w:keepNext w:val="0"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28,1</w:t>
            </w:r>
          </w:p>
        </w:tc>
        <w:tc>
          <w:tcPr>
            <w:tcW w:type="dxa" w:w="2154"/>
            <w:shd w:val="clear" w:color="auto" w:fill="FAFAFA"/>
          </w:tcPr>
          <w:p>
            <w:pPr>
              <w:keepNext w:val="0"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27,3</w:t>
            </w:r>
          </w:p>
        </w:tc>
        <w:tc>
          <w:tcPr>
            <w:tcW w:type="dxa" w:w="2381"/>
            <w:shd w:val="clear" w:color="auto" w:fill="FAFAFA"/>
          </w:tcPr>
          <w:p>
            <w:pPr>
              <w:keepNext w:val="0"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27,8 / 28,6</w:t>
            </w:r>
          </w:p>
        </w:tc>
      </w:tr>
    </w:tbl>
    <w:p>
      <w:pPr>
        <w:spacing w:after="4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16154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5_perfi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15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i/>
          <w:color w:val="666666"/>
          <w:sz w:val="17"/>
        </w:rPr>
        <w:t>Figura 4. Curva media de cada clúster por enlace; en punteado, los centroides de K-Means.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color w:val="000000"/>
          <w:sz w:val="19"/>
        </w:rPr>
        <w:t xml:space="preserve">Las curvas de Ward y complete </w:t>
      </w:r>
      <w:r>
        <w:rPr>
          <w:rFonts w:ascii="Calibri" w:hAnsi="Calibri"/>
          <w:b/>
          <w:i w:val="0"/>
          <w:color w:val="000000"/>
          <w:sz w:val="19"/>
        </w:rPr>
        <w:t>se superponen a los centroides de K-Means</w:t>
      </w:r>
      <w:r>
        <w:rPr>
          <w:rFonts w:ascii="Calibri" w:hAnsi="Calibri"/>
          <w:b w:val="0"/>
          <w:i w:val="0"/>
          <w:color w:val="000000"/>
          <w:sz w:val="19"/>
        </w:rPr>
        <w:t xml:space="preserve">. El día de carga alta comparte un </w:t>
      </w:r>
      <w:r>
        <w:rPr>
          <w:rFonts w:ascii="Calibri" w:hAnsi="Calibri"/>
          <w:b/>
          <w:i w:val="0"/>
          <w:color w:val="000000"/>
          <w:sz w:val="19"/>
        </w:rPr>
        <w:t>bloque diurno fuerte</w:t>
      </w:r>
      <w:r>
        <w:rPr>
          <w:rFonts w:ascii="Calibri" w:hAnsi="Calibri"/>
          <w:b w:val="0"/>
          <w:i w:val="0"/>
          <w:color w:val="000000"/>
          <w:sz w:val="19"/>
        </w:rPr>
        <w:t xml:space="preserve"> (2,5 veces el consumo del día normal entre las 8 y las 18 h), más iluminación (+24 %) y más humedad en cocina y lavandería: rastros de actividad en casa. El día normal es plano, con un pico hacia las 18 h. </w:t>
      </w:r>
      <w:r>
        <w:rPr>
          <w:rFonts w:ascii="Calibri" w:hAnsi="Calibri"/>
          <w:b/>
          <w:i w:val="0"/>
          <w:color w:val="000000"/>
          <w:sz w:val="19"/>
        </w:rPr>
        <w:t>Lo que no comparten es el calendario:</w:t>
      </w:r>
      <w:r>
        <w:rPr>
          <w:rFonts w:ascii="Calibri" w:hAnsi="Calibri"/>
          <w:b w:val="0"/>
          <w:i w:val="0"/>
          <w:color w:val="000000"/>
          <w:sz w:val="19"/>
        </w:rPr>
        <w:t xml:space="preserve"> 27,3 % frente a 28,1 % de fin de semana.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555555"/>
          <w:sz w:val="20"/>
        </w:rPr>
        <w:t>5.2 Ejemplos representativos por clúster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color w:val="000000"/>
          <w:sz w:val="19"/>
        </w:rPr>
        <w:t xml:space="preserve">El ejemplo representativo es el </w:t>
      </w:r>
      <w:r>
        <w:rPr>
          <w:rFonts w:ascii="Calibri" w:hAnsi="Calibri"/>
          <w:b/>
          <w:i w:val="0"/>
          <w:color w:val="000000"/>
          <w:sz w:val="19"/>
        </w:rPr>
        <w:t>medoide</w:t>
      </w:r>
      <w:r>
        <w:rPr>
          <w:rFonts w:ascii="Calibri" w:hAnsi="Calibri"/>
          <w:b w:val="0"/>
          <w:i w:val="0"/>
          <w:color w:val="000000"/>
          <w:sz w:val="19"/>
        </w:rPr>
        <w:t>: el día real con menor distancia media al resto de su grupo. A diferencia del centroide, que es un promedio que nunca ocurrió, el medoide es un día que la casa vivió.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61"/>
            <w:shd w:val="clear" w:color="auto" w:fill="1F3864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Clúster (Ward)</w:t>
            </w:r>
          </w:p>
        </w:tc>
        <w:tc>
          <w:tcPr>
            <w:tcW w:type="dxa" w:w="1587"/>
            <w:shd w:val="clear" w:color="auto" w:fill="1F3864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Papel</w:t>
            </w:r>
          </w:p>
        </w:tc>
        <w:tc>
          <w:tcPr>
            <w:tcW w:type="dxa" w:w="1474"/>
            <w:shd w:val="clear" w:color="auto" w:fill="1F3864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Día</w:t>
            </w:r>
          </w:p>
        </w:tc>
        <w:tc>
          <w:tcPr>
            <w:tcW w:type="dxa" w:w="794"/>
            <w:shd w:val="clear" w:color="auto" w:fill="1F386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kWh</w:t>
            </w:r>
          </w:p>
        </w:tc>
        <w:tc>
          <w:tcPr>
            <w:tcW w:type="dxa" w:w="1814"/>
            <w:shd w:val="clear" w:color="auto" w:fill="1F386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Pico</w:t>
            </w:r>
          </w:p>
        </w:tc>
        <w:tc>
          <w:tcPr>
            <w:tcW w:type="dxa" w:w="907"/>
            <w:shd w:val="clear" w:color="auto" w:fill="1F386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lights</w:t>
            </w:r>
          </w:p>
        </w:tc>
        <w:tc>
          <w:tcPr>
            <w:tcW w:type="dxa" w:w="794"/>
            <w:shd w:val="clear" w:color="auto" w:fill="1F386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T_out</w:t>
            </w:r>
          </w:p>
        </w:tc>
      </w:tr>
      <w:tr>
        <w:tc>
          <w:tcPr>
            <w:tcW w:type="dxa" w:w="1361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Normal</w:t>
            </w:r>
          </w:p>
        </w:tc>
        <w:tc>
          <w:tcPr>
            <w:tcW w:type="dxa" w:w="1587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medoide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mié 27-abr</w:t>
            </w:r>
          </w:p>
        </w:tc>
        <w:tc>
          <w:tcPr>
            <w:tcW w:type="dxa" w:w="79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10,8</w:t>
            </w:r>
          </w:p>
        </w:tc>
        <w:tc>
          <w:tcPr>
            <w:tcW w:type="dxa" w:w="181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163 Wh · 18 h</w:t>
            </w:r>
          </w:p>
        </w:tc>
        <w:tc>
          <w:tcPr>
            <w:tcW w:type="dxa" w:w="907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750</w:t>
            </w:r>
          </w:p>
        </w:tc>
        <w:tc>
          <w:tcPr>
            <w:tcW w:type="dxa" w:w="79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4,8</w:t>
            </w:r>
          </w:p>
        </w:tc>
      </w:tr>
      <w:tr>
        <w:tc>
          <w:tcPr>
            <w:tcW w:type="dxa" w:w="1361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Normal</w:t>
            </w:r>
          </w:p>
        </w:tc>
        <w:tc>
          <w:tcPr>
            <w:tcW w:type="dxa" w:w="1587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2.º más típico</w:t>
            </w:r>
          </w:p>
        </w:tc>
        <w:tc>
          <w:tcPr>
            <w:tcW w:type="dxa" w:w="1474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dom 27-mar</w:t>
            </w:r>
          </w:p>
        </w:tc>
        <w:tc>
          <w:tcPr>
            <w:tcW w:type="dxa" w:w="794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10,5</w:t>
            </w:r>
          </w:p>
        </w:tc>
        <w:tc>
          <w:tcPr>
            <w:tcW w:type="dxa" w:w="1814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157 Wh · 18 h</w:t>
            </w:r>
          </w:p>
        </w:tc>
        <w:tc>
          <w:tcPr>
            <w:tcW w:type="dxa" w:w="907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80</w:t>
            </w:r>
          </w:p>
        </w:tc>
        <w:tc>
          <w:tcPr>
            <w:tcW w:type="dxa" w:w="794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9,0</w:t>
            </w:r>
          </w:p>
        </w:tc>
      </w:tr>
      <w:tr>
        <w:tc>
          <w:tcPr>
            <w:tcW w:type="dxa" w:w="1361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Normal</w:t>
            </w:r>
          </w:p>
        </w:tc>
        <w:tc>
          <w:tcPr>
            <w:tcW w:type="dxa" w:w="1587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3.º más típico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mié 30-mar</w:t>
            </w:r>
          </w:p>
        </w:tc>
        <w:tc>
          <w:tcPr>
            <w:tcW w:type="dxa" w:w="79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12,6</w:t>
            </w:r>
          </w:p>
        </w:tc>
        <w:tc>
          <w:tcPr>
            <w:tcW w:type="dxa" w:w="181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197 Wh · 20 h</w:t>
            </w:r>
          </w:p>
        </w:tc>
        <w:tc>
          <w:tcPr>
            <w:tcW w:type="dxa" w:w="907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620</w:t>
            </w:r>
          </w:p>
        </w:tc>
        <w:tc>
          <w:tcPr>
            <w:tcW w:type="dxa" w:w="79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9,1</w:t>
            </w:r>
          </w:p>
        </w:tc>
      </w:tr>
      <w:tr>
        <w:tc>
          <w:tcPr>
            <w:tcW w:type="dxa" w:w="1361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Carga alta</w:t>
            </w:r>
          </w:p>
        </w:tc>
        <w:tc>
          <w:tcPr>
            <w:tcW w:type="dxa" w:w="1587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medoide</w:t>
            </w:r>
          </w:p>
        </w:tc>
        <w:tc>
          <w:tcPr>
            <w:tcW w:type="dxa" w:w="1474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mié 03-feb</w:t>
            </w:r>
          </w:p>
        </w:tc>
        <w:tc>
          <w:tcPr>
            <w:tcW w:type="dxa" w:w="794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19,1</w:t>
            </w:r>
          </w:p>
        </w:tc>
        <w:tc>
          <w:tcPr>
            <w:tcW w:type="dxa" w:w="1814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320 Wh · 16 h</w:t>
            </w:r>
          </w:p>
        </w:tc>
        <w:tc>
          <w:tcPr>
            <w:tcW w:type="dxa" w:w="907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1.180</w:t>
            </w:r>
          </w:p>
        </w:tc>
        <w:tc>
          <w:tcPr>
            <w:tcW w:type="dxa" w:w="794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4,9</w:t>
            </w:r>
          </w:p>
        </w:tc>
      </w:tr>
      <w:tr>
        <w:tc>
          <w:tcPr>
            <w:tcW w:type="dxa" w:w="1361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Carga alta</w:t>
            </w:r>
          </w:p>
        </w:tc>
        <w:tc>
          <w:tcPr>
            <w:tcW w:type="dxa" w:w="1587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2.º más típico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sáb 16-abr</w:t>
            </w:r>
          </w:p>
        </w:tc>
        <w:tc>
          <w:tcPr>
            <w:tcW w:type="dxa" w:w="79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19,3</w:t>
            </w:r>
          </w:p>
        </w:tc>
        <w:tc>
          <w:tcPr>
            <w:tcW w:type="dxa" w:w="181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442 Wh · 16 h</w:t>
            </w:r>
          </w:p>
        </w:tc>
        <w:tc>
          <w:tcPr>
            <w:tcW w:type="dxa" w:w="907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50</w:t>
            </w:r>
          </w:p>
        </w:tc>
        <w:tc>
          <w:tcPr>
            <w:tcW w:type="dxa" w:w="79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9,1</w:t>
            </w:r>
          </w:p>
        </w:tc>
      </w:tr>
      <w:tr>
        <w:tc>
          <w:tcPr>
            <w:tcW w:type="dxa" w:w="1361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Carga alta</w:t>
            </w:r>
          </w:p>
        </w:tc>
        <w:tc>
          <w:tcPr>
            <w:tcW w:type="dxa" w:w="1587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3.º más típico</w:t>
            </w:r>
          </w:p>
        </w:tc>
        <w:tc>
          <w:tcPr>
            <w:tcW w:type="dxa" w:w="1474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lun 29-feb</w:t>
            </w:r>
          </w:p>
        </w:tc>
        <w:tc>
          <w:tcPr>
            <w:tcW w:type="dxa" w:w="794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22,6</w:t>
            </w:r>
          </w:p>
        </w:tc>
        <w:tc>
          <w:tcPr>
            <w:tcW w:type="dxa" w:w="1814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368 Wh · 12 h</w:t>
            </w:r>
          </w:p>
        </w:tc>
        <w:tc>
          <w:tcPr>
            <w:tcW w:type="dxa" w:w="907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760</w:t>
            </w:r>
          </w:p>
        </w:tc>
        <w:tc>
          <w:tcPr>
            <w:tcW w:type="dxa" w:w="794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2,2</w:t>
            </w:r>
          </w:p>
        </w:tc>
      </w:tr>
      <w:tr>
        <w:tc>
          <w:tcPr>
            <w:tcW w:type="dxa" w:w="1361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Carga alta</w:t>
            </w:r>
          </w:p>
        </w:tc>
        <w:tc>
          <w:tcPr>
            <w:tcW w:type="dxa" w:w="1587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aislado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dom 24-ene</w:t>
            </w:r>
          </w:p>
        </w:tc>
        <w:tc>
          <w:tcPr>
            <w:tcW w:type="dxa" w:w="79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21,6</w:t>
            </w:r>
          </w:p>
        </w:tc>
        <w:tc>
          <w:tcPr>
            <w:tcW w:type="dxa" w:w="181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608 Wh · 8 h</w:t>
            </w:r>
          </w:p>
        </w:tc>
        <w:tc>
          <w:tcPr>
            <w:tcW w:type="dxa" w:w="907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1.430</w:t>
            </w:r>
          </w:p>
        </w:tc>
        <w:tc>
          <w:tcPr>
            <w:tcW w:type="dxa" w:w="79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6,9</w:t>
            </w:r>
          </w:p>
        </w:tc>
      </w:tr>
      <w:tr>
        <w:tc>
          <w:tcPr>
            <w:tcW w:type="dxa" w:w="1361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Carga alta</w:t>
            </w:r>
          </w:p>
        </w:tc>
        <w:tc>
          <w:tcPr>
            <w:tcW w:type="dxa" w:w="1587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aislado</w:t>
            </w:r>
          </w:p>
        </w:tc>
        <w:tc>
          <w:tcPr>
            <w:tcW w:type="dxa" w:w="1474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mié 16-mar</w:t>
            </w:r>
          </w:p>
        </w:tc>
        <w:tc>
          <w:tcPr>
            <w:tcW w:type="dxa" w:w="794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22,8</w:t>
            </w:r>
          </w:p>
        </w:tc>
        <w:tc>
          <w:tcPr>
            <w:tcW w:type="dxa" w:w="1814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563 Wh · 18 h</w:t>
            </w:r>
          </w:p>
        </w:tc>
        <w:tc>
          <w:tcPr>
            <w:tcW w:type="dxa" w:w="907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1.240</w:t>
            </w:r>
          </w:p>
        </w:tc>
        <w:tc>
          <w:tcPr>
            <w:tcW w:type="dxa" w:w="794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5,2</w:t>
            </w:r>
          </w:p>
        </w:tc>
      </w:tr>
      <w:tr>
        <w:tc>
          <w:tcPr>
            <w:tcW w:type="dxa" w:w="1361"/>
          </w:tcPr>
          <w:p>
            <w:pPr>
              <w:keepNext w:val="0"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Normal</w:t>
            </w:r>
          </w:p>
        </w:tc>
        <w:tc>
          <w:tcPr>
            <w:tcW w:type="dxa" w:w="1587"/>
          </w:tcPr>
          <w:p>
            <w:pPr>
              <w:keepNext w:val="0"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aislado</w:t>
            </w:r>
          </w:p>
        </w:tc>
        <w:tc>
          <w:tcPr>
            <w:tcW w:type="dxa" w:w="1474"/>
          </w:tcPr>
          <w:p>
            <w:pPr>
              <w:keepNext w:val="0"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vie 15-abr</w:t>
            </w:r>
          </w:p>
        </w:tc>
        <w:tc>
          <w:tcPr>
            <w:tcW w:type="dxa" w:w="794"/>
          </w:tcPr>
          <w:p>
            <w:pPr>
              <w:keepNext w:val="0"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18,9</w:t>
            </w:r>
          </w:p>
        </w:tc>
        <w:tc>
          <w:tcPr>
            <w:tcW w:type="dxa" w:w="1814"/>
          </w:tcPr>
          <w:p>
            <w:pPr>
              <w:keepNext w:val="0"/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372 Wh · 6 h</w:t>
            </w:r>
          </w:p>
        </w:tc>
        <w:tc>
          <w:tcPr>
            <w:tcW w:type="dxa" w:w="907"/>
          </w:tcPr>
          <w:p>
            <w:pPr>
              <w:keepNext w:val="0"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360</w:t>
            </w:r>
          </w:p>
        </w:tc>
        <w:tc>
          <w:tcPr>
            <w:tcW w:type="dxa" w:w="794"/>
          </w:tcPr>
          <w:p>
            <w:pPr>
              <w:keepNext w:val="0"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11,7</w:t>
            </w:r>
          </w:p>
        </w:tc>
      </w:tr>
    </w:tbl>
    <w:p>
      <w:pPr>
        <w:spacing w:after="4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16804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6_representativ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80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i/>
          <w:color w:val="666666"/>
          <w:sz w:val="17"/>
        </w:rPr>
        <w:t>Figura 5. Medoide de cada tipo (trazo grueso) y días aislados por average o complete (rojo).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3E8"/>
          </w:tcPr>
          <w:p>
            <w:pPr>
              <w:spacing w:before="80" w:after="40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 xml:space="preserve">Los días aislados son raros por cuándo consumen, no por cuánto.  </w:t>
            </w: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 xml:space="preserve">Ninguno es el de mayor consumo: el 4-abr (27,2 kWh) y el 25-mar (26,0) consumen más y no quedan aislados. El 24-ene tiene </w:t>
            </w: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608 Wh a las 8 de la mañana</w:t>
            </w: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 xml:space="preserve">, la hora más alta de todo el periodo. El 16-mar tiene tres picos separados (9, 14 y 18 h). El 15-abr carga fuerte </w:t>
            </w: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desde las 6 h</w:t>
            </w: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 xml:space="preserve"> con una tarde normal, y Ward lo llama normal mientras complete lo llama carga alta: no encaja en ninguno. Son los días en que la estimación del tipo fallaría. El gemelo no debe aprenderlos como rutina, y encontrarlos es el trabajo del taller de DBSCAN.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555555"/>
          <w:sz w:val="20"/>
        </w:rPr>
        <w:t>5.3 Lo que K-Means no da: la jerarquía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color w:val="000000"/>
          <w:sz w:val="19"/>
        </w:rPr>
        <w:t xml:space="preserve">Con </w:t>
      </w:r>
      <w:r>
        <w:rPr>
          <w:rFonts w:ascii="Calibri" w:hAnsi="Calibri"/>
          <w:b/>
          <w:i w:val="0"/>
          <w:color w:val="000000"/>
          <w:sz w:val="19"/>
        </w:rPr>
        <w:t>k = 3</w:t>
      </w:r>
      <w:r>
        <w:rPr>
          <w:rFonts w:ascii="Calibri" w:hAnsi="Calibri"/>
          <w:b w:val="0"/>
          <w:i w:val="0"/>
          <w:color w:val="000000"/>
          <w:sz w:val="19"/>
        </w:rPr>
        <w:t xml:space="preserve"> el árbol de Ward parte los días normales en 86 bajos (11,6 kWh) y un grupo </w:t>
      </w:r>
      <w:r>
        <w:rPr>
          <w:rFonts w:ascii="Calibri" w:hAnsi="Calibri"/>
          <w:b/>
          <w:i w:val="0"/>
          <w:color w:val="000000"/>
          <w:sz w:val="19"/>
        </w:rPr>
        <w:t>intermedio</w:t>
      </w:r>
      <w:r>
        <w:rPr>
          <w:rFonts w:ascii="Calibri" w:hAnsi="Calibri"/>
          <w:b w:val="0"/>
          <w:i w:val="0"/>
          <w:color w:val="000000"/>
          <w:sz w:val="19"/>
        </w:rPr>
        <w:t xml:space="preserve"> de 28 (15,4 kWh, </w:t>
      </w:r>
      <w:r>
        <w:rPr>
          <w:rFonts w:ascii="Calibri" w:hAnsi="Calibri"/>
          <w:b/>
          <w:i w:val="0"/>
          <w:color w:val="000000"/>
          <w:sz w:val="19"/>
        </w:rPr>
        <w:t>46,4 % de fin de semana</w:t>
      </w:r>
      <w:r>
        <w:rPr>
          <w:rFonts w:ascii="Calibri" w:hAnsi="Calibri"/>
          <w:b w:val="0"/>
          <w:i w:val="0"/>
          <w:color w:val="000000"/>
          <w:sz w:val="19"/>
        </w:rPr>
        <w:t>) que contiene los 7 días de frontera. Es la «mañana activa» del taller de K-Means: con k = 3 ambas técnicas coinciden con un ARI de 0,796. Con k = 4 el acuerdo cae a 0,543 y los cortes ya no tienen señal: no hay más estructura. El MDP se queda con k = 2, y la capa de explicación puede usar el tercer nivel («día normal con mañana activa»).</w:t>
      </w:r>
    </w:p>
    <w:p>
      <w:pPr>
        <w:keepNext/>
        <w:spacing w:before="320" w:after="140"/>
        <w:pBdr>
          <w:bottom w:val="single" w:sz="8" w:space="3" w:color="1F3864"/>
        </w:pBdr>
      </w:pPr>
      <w:r>
        <w:rPr>
          <w:rFonts w:ascii="Calibri" w:hAnsi="Calibri"/>
          <w:b/>
          <w:color w:val="1F3864"/>
          <w:sz w:val="28"/>
        </w:rPr>
        <w:t>6. Comparación con K-Means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555555"/>
          <w:sz w:val="20"/>
        </w:rPr>
        <w:t>6.1 ¿Cambió la forma de los clústeres?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948"/>
            <w:shd w:val="clear" w:color="auto" w:fill="1F3864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Técnica · clúster</w:t>
            </w:r>
          </w:p>
        </w:tc>
        <w:tc>
          <w:tcPr>
            <w:tcW w:type="dxa" w:w="1134"/>
            <w:shd w:val="clear" w:color="auto" w:fill="1F386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Días</w:t>
            </w:r>
          </w:p>
        </w:tc>
        <w:tc>
          <w:tcPr>
            <w:tcW w:type="dxa" w:w="2268"/>
            <w:shd w:val="clear" w:color="auto" w:fill="1F386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Radio medio (Wh)</w:t>
            </w:r>
          </w:p>
        </w:tc>
        <w:tc>
          <w:tcPr>
            <w:tcW w:type="dxa" w:w="2268"/>
            <w:shd w:val="clear" w:color="auto" w:fill="1F386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Diámetro (Wh)</w:t>
            </w:r>
          </w:p>
        </w:tc>
      </w:tr>
      <w:tr>
        <w:tc>
          <w:tcPr>
            <w:tcW w:type="dxa" w:w="2948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K-Means · normal</w:t>
            </w:r>
          </w:p>
        </w:tc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108</w:t>
            </w:r>
          </w:p>
        </w:tc>
        <w:tc>
          <w:tcPr>
            <w:tcW w:type="dxa" w:w="2268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235,0</w:t>
            </w:r>
          </w:p>
        </w:tc>
        <w:tc>
          <w:tcPr>
            <w:tcW w:type="dxa" w:w="2268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813,4</w:t>
            </w:r>
          </w:p>
        </w:tc>
      </w:tr>
      <w:tr>
        <w:tc>
          <w:tcPr>
            <w:tcW w:type="dxa" w:w="2948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K-Means · carga alta</w:t>
            </w:r>
          </w:p>
        </w:tc>
        <w:tc>
          <w:tcPr>
            <w:tcW w:type="dxa" w:w="1134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2268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405,7</w:t>
            </w:r>
          </w:p>
        </w:tc>
        <w:tc>
          <w:tcPr>
            <w:tcW w:type="dxa" w:w="2268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966,7</w:t>
            </w:r>
          </w:p>
        </w:tc>
      </w:tr>
      <w:tr>
        <w:tc>
          <w:tcPr>
            <w:tcW w:type="dxa" w:w="2948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Ward · normal</w:t>
            </w:r>
          </w:p>
        </w:tc>
        <w:tc>
          <w:tcPr>
            <w:tcW w:type="dxa" w:w="113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2268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249,4</w:t>
            </w:r>
          </w:p>
        </w:tc>
        <w:tc>
          <w:tcPr>
            <w:tcW w:type="dxa" w:w="2268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866,6</w:t>
            </w:r>
          </w:p>
        </w:tc>
      </w:tr>
      <w:tr>
        <w:tc>
          <w:tcPr>
            <w:tcW w:type="dxa" w:w="2948"/>
            <w:shd w:val="clear" w:color="auto" w:fill="FAFAFA"/>
          </w:tcPr>
          <w:p>
            <w:pPr>
              <w:keepNext w:val="0"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Ward · carga alta</w:t>
            </w:r>
          </w:p>
        </w:tc>
        <w:tc>
          <w:tcPr>
            <w:tcW w:type="dxa" w:w="1134"/>
            <w:shd w:val="clear" w:color="auto" w:fill="FAFAFA"/>
          </w:tcPr>
          <w:p>
            <w:pPr>
              <w:keepNext w:val="0"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2268"/>
            <w:shd w:val="clear" w:color="auto" w:fill="FAFAFA"/>
          </w:tcPr>
          <w:p>
            <w:pPr>
              <w:keepNext w:val="0"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411,3</w:t>
            </w:r>
          </w:p>
        </w:tc>
        <w:tc>
          <w:tcPr>
            <w:tcW w:type="dxa" w:w="2268"/>
            <w:shd w:val="clear" w:color="auto" w:fill="FAFAFA"/>
          </w:tcPr>
          <w:p>
            <w:pPr>
              <w:keepNext w:val="0"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966,7</w:t>
            </w:r>
          </w:p>
        </w:tc>
      </w:tr>
    </w:tbl>
    <w:p>
      <w:pPr>
        <w:spacing w:after="40"/>
      </w:pPr>
    </w:p>
    <w:p>
      <w:pPr>
        <w:spacing w:before="0" w:after="120"/>
        <w:jc w:val="both"/>
      </w:pPr>
      <w:r>
        <w:rPr>
          <w:rFonts w:ascii="Calibri" w:hAnsi="Calibri"/>
          <w:b/>
          <w:i w:val="0"/>
          <w:color w:val="000000"/>
          <w:sz w:val="19"/>
        </w:rPr>
        <w:t>Casi no.</w:t>
      </w:r>
      <w:r>
        <w:rPr>
          <w:rFonts w:ascii="Calibri" w:hAnsi="Calibri"/>
          <w:b w:val="0"/>
          <w:i w:val="0"/>
          <w:color w:val="000000"/>
          <w:sz w:val="19"/>
        </w:rPr>
        <w:t xml:space="preserve"> Las dos técnicas ven un </w:t>
      </w:r>
      <w:r>
        <w:rPr>
          <w:rFonts w:ascii="Calibri" w:hAnsi="Calibri"/>
          <w:b/>
          <w:i w:val="0"/>
          <w:color w:val="000000"/>
          <w:sz w:val="19"/>
        </w:rPr>
        <w:t>núcleo compacto de días normales</w:t>
      </w:r>
      <w:r>
        <w:rPr>
          <w:rFonts w:ascii="Calibri" w:hAnsi="Calibri"/>
          <w:b w:val="0"/>
          <w:i w:val="0"/>
          <w:color w:val="000000"/>
          <w:sz w:val="19"/>
        </w:rPr>
        <w:t xml:space="preserve"> y una </w:t>
      </w:r>
      <w:r>
        <w:rPr>
          <w:rFonts w:ascii="Calibri" w:hAnsi="Calibri"/>
          <w:b/>
          <w:i w:val="0"/>
          <w:color w:val="000000"/>
          <w:sz w:val="19"/>
        </w:rPr>
        <w:t>periferia 1,7 veces más dispersa</w:t>
      </w:r>
      <w:r>
        <w:rPr>
          <w:rFonts w:ascii="Calibri" w:hAnsi="Calibri"/>
          <w:b w:val="0"/>
          <w:i w:val="0"/>
          <w:color w:val="000000"/>
          <w:sz w:val="19"/>
        </w:rPr>
        <w:t xml:space="preserve"> de días de carga alta. Ward mueve 7 días de frontera al lado normal, y eso ensancha un poco ese grupo. Aunque ambos minimizan la inercia intra-clúster, K-Means llega a un valor </w:t>
      </w:r>
      <w:r>
        <w:rPr>
          <w:rFonts w:ascii="Calibri" w:hAnsi="Calibri"/>
          <w:b/>
          <w:i w:val="0"/>
          <w:color w:val="000000"/>
          <w:sz w:val="19"/>
        </w:rPr>
        <w:t>3,8 % más bajo</w:t>
      </w:r>
      <w:r>
        <w:rPr>
          <w:rFonts w:ascii="Calibri" w:hAnsi="Calibri"/>
          <w:b w:val="0"/>
          <w:i w:val="0"/>
          <w:color w:val="000000"/>
          <w:sz w:val="19"/>
        </w:rPr>
        <w:t xml:space="preserve"> (11.755.083 frente a 12.206.598): K-Means reasigna cualquier día en cada iteración, mientras que Ward es codicioso, toma 134 fusiones y nunca deshace una.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555555"/>
          <w:sz w:val="20"/>
        </w:rPr>
        <w:t>6.2 ¿Se mantuvieron algunos agrupamientos?</w:t>
      </w:r>
    </w:p>
    <w:p>
      <w:pPr>
        <w:spacing w:before="0" w:after="120"/>
        <w:jc w:val="both"/>
      </w:pPr>
      <w:r>
        <w:rPr>
          <w:rFonts w:ascii="Calibri" w:hAnsi="Calibri"/>
          <w:b/>
          <w:i w:val="0"/>
          <w:color w:val="000000"/>
          <w:sz w:val="19"/>
        </w:rPr>
        <w:t>Sí: 128 de 136 días (94 %) conservan su grupo.</w:t>
      </w:r>
      <w:r>
        <w:rPr>
          <w:rFonts w:ascii="Calibri" w:hAnsi="Calibri"/>
          <w:b w:val="0"/>
          <w:i w:val="0"/>
          <w:color w:val="000000"/>
          <w:sz w:val="19"/>
        </w:rPr>
        <w:t xml:space="preserve"> Complete coincide con Ward en 132 días (ARI 0,855), y cada uno discrepa de K-Means en 8 (ARI 0,736). Siete días que K-Means llama de carga alta pasan a normales en Ward (17-ene, 31-ene, 09-feb, 12-feb, 25-feb, 19-mar y 28-mar) y uno hace el camino inverso (09-abr).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16501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7_fronte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50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b w:val="0"/>
          <w:i/>
          <w:color w:val="666666"/>
          <w:sz w:val="17"/>
        </w:rPr>
        <w:t>Figura 6. Margen de cada día respecto de los dos centroides de K-Means; círculos negros: los 8 días en que K-Means y Ward discrepan.</w:t>
      </w: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color w:val="000000"/>
          <w:sz w:val="19"/>
        </w:rPr>
        <w:t xml:space="preserve">Los días que cambian tienen un margen medio de 0,110, frente a 0,358 del resto, y </w:t>
      </w:r>
      <w:r>
        <w:rPr>
          <w:rFonts w:ascii="Calibri" w:hAnsi="Calibri"/>
          <w:b/>
          <w:i w:val="0"/>
          <w:color w:val="000000"/>
          <w:sz w:val="19"/>
        </w:rPr>
        <w:t>todos están entre el 20 % de días más cercanos a la frontera</w:t>
      </w:r>
      <w:r>
        <w:rPr>
          <w:rFonts w:ascii="Calibri" w:hAnsi="Calibri"/>
          <w:b w:val="0"/>
          <w:i w:val="0"/>
          <w:color w:val="000000"/>
          <w:sz w:val="19"/>
        </w:rPr>
        <w:t xml:space="preserve">. Son días de carga alta moderada (15–21 kWh). El tipo de día es robusto en su núcleo y difuso en su borde, lo que refuerza la decisión del taller de K-Means: entra al MDP como </w:t>
      </w:r>
      <w:r>
        <w:rPr>
          <w:rFonts w:ascii="Calibri" w:hAnsi="Calibri"/>
          <w:b/>
          <w:i w:val="0"/>
          <w:color w:val="000000"/>
          <w:sz w:val="19"/>
        </w:rPr>
        <w:t>estimación con confianza</w:t>
      </w:r>
      <w:r>
        <w:rPr>
          <w:rFonts w:ascii="Calibri" w:hAnsi="Calibri"/>
          <w:b w:val="0"/>
          <w:i w:val="0"/>
          <w:color w:val="000000"/>
          <w:sz w:val="19"/>
        </w:rPr>
        <w:t>, y el margen es esa confianza.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555555"/>
          <w:sz w:val="20"/>
        </w:rPr>
        <w:t>6.3 Control temporal: ¿el árbol se sostiene cuando llegan días nuevos?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color="auto" w:fill="1F3864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Técnica</w:t>
            </w:r>
          </w:p>
        </w:tc>
        <w:tc>
          <w:tcPr>
            <w:tcW w:type="dxa" w:w="2721"/>
            <w:shd w:val="clear" w:color="auto" w:fill="1F386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ARI: 110 días vs. 136 días</w:t>
            </w:r>
          </w:p>
        </w:tc>
        <w:tc>
          <w:tcPr>
            <w:tcW w:type="dxa" w:w="2268"/>
            <w:shd w:val="clear" w:color="auto" w:fill="1F386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Reparto con 110 días</w:t>
            </w:r>
          </w:p>
        </w:tc>
        <w:tc>
          <w:tcPr>
            <w:tcW w:type="dxa" w:w="2268"/>
            <w:shd w:val="clear" w:color="auto" w:fill="1F386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Carga alta en mayo</w:t>
            </w:r>
          </w:p>
        </w:tc>
      </w:tr>
      <w:tr>
        <w:tc>
          <w:tcPr>
            <w:tcW w:type="dxa" w:w="1701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K-Means</w:t>
            </w:r>
          </w:p>
        </w:tc>
        <w:tc>
          <w:tcPr>
            <w:tcW w:type="dxa" w:w="272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1,000</w:t>
            </w:r>
          </w:p>
        </w:tc>
        <w:tc>
          <w:tcPr>
            <w:tcW w:type="dxa" w:w="2268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85 / 25</w:t>
            </w:r>
          </w:p>
        </w:tc>
        <w:tc>
          <w:tcPr>
            <w:tcW w:type="dxa" w:w="2268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11,5 %</w:t>
            </w:r>
          </w:p>
        </w:tc>
      </w:tr>
      <w:tr>
        <w:tc>
          <w:tcPr>
            <w:tcW w:type="dxa" w:w="1701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Ward</w:t>
            </w:r>
          </w:p>
        </w:tc>
        <w:tc>
          <w:tcPr>
            <w:tcW w:type="dxa" w:w="2721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0,359</w:t>
            </w:r>
          </w:p>
        </w:tc>
        <w:tc>
          <w:tcPr>
            <w:tcW w:type="dxa" w:w="2268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70 / 40</w:t>
            </w:r>
          </w:p>
        </w:tc>
        <w:tc>
          <w:tcPr>
            <w:tcW w:type="dxa" w:w="2268"/>
            <w:shd w:val="clear" w:color="auto" w:fill="FAFAFA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19,2 %</w:t>
            </w:r>
          </w:p>
        </w:tc>
      </w:tr>
      <w:tr>
        <w:tc>
          <w:tcPr>
            <w:tcW w:type="dxa" w:w="1701"/>
          </w:tcPr>
          <w:p>
            <w:pPr>
              <w:keepNext w:val="0"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Complete</w:t>
            </w:r>
          </w:p>
        </w:tc>
        <w:tc>
          <w:tcPr>
            <w:tcW w:type="dxa" w:w="2721"/>
          </w:tcPr>
          <w:p>
            <w:pPr>
              <w:keepNext w:val="0"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0,401</w:t>
            </w:r>
          </w:p>
        </w:tc>
        <w:tc>
          <w:tcPr>
            <w:tcW w:type="dxa" w:w="2268"/>
          </w:tcPr>
          <w:p>
            <w:pPr>
              <w:keepNext w:val="0"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72 / 38</w:t>
            </w:r>
          </w:p>
        </w:tc>
        <w:tc>
          <w:tcPr>
            <w:tcW w:type="dxa" w:w="2268"/>
          </w:tcPr>
          <w:p>
            <w:pPr>
              <w:keepNext w:val="0"/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19,2 %</w:t>
            </w:r>
          </w:p>
        </w:tc>
      </w:tr>
    </w:tbl>
    <w:p>
      <w:pPr>
        <w:spacing w:after="40"/>
      </w:pPr>
    </w:p>
    <w:p>
      <w:pPr>
        <w:spacing w:before="0" w:after="120"/>
        <w:jc w:val="both"/>
      </w:pPr>
      <w:r>
        <w:rPr>
          <w:rFonts w:ascii="Calibri" w:hAnsi="Calibri"/>
          <w:b w:val="0"/>
          <w:i w:val="0"/>
          <w:color w:val="000000"/>
          <w:sz w:val="19"/>
        </w:rPr>
        <w:t xml:space="preserve">Ajustado solo con los 110 días hasta abril, </w:t>
      </w:r>
      <w:r>
        <w:rPr>
          <w:rFonts w:ascii="Calibri" w:hAnsi="Calibri"/>
          <w:b/>
          <w:i w:val="0"/>
          <w:color w:val="000000"/>
          <w:sz w:val="19"/>
        </w:rPr>
        <w:t>K-Means da exactamente el mismo reparto</w:t>
      </w:r>
      <w:r>
        <w:rPr>
          <w:rFonts w:ascii="Calibri" w:hAnsi="Calibri"/>
          <w:b w:val="0"/>
          <w:i w:val="0"/>
          <w:color w:val="000000"/>
          <w:sz w:val="19"/>
        </w:rPr>
        <w:t xml:space="preserve">. El árbol de Ward no: corta en 70 / 40, cuando con 136 días reparte esos mismos días en 91 / 19. Al quitar mayo, el grupo intermedio (21 de sus 25 días) cambia de lado y la primera división del árbol pasa de {normal + intermedio | carga alta} a {normal | intermedio + carga alta}. </w:t>
      </w:r>
      <w:r>
        <w:rPr>
          <w:rFonts w:ascii="Calibri" w:hAnsi="Calibri"/>
          <w:b/>
          <w:i w:val="0"/>
          <w:color w:val="000000"/>
          <w:sz w:val="19"/>
        </w:rPr>
        <w:t>Determinista no es lo mismo que estable.</w:t>
      </w:r>
      <w:r>
        <w:rPr>
          <w:rFonts w:ascii="Calibri" w:hAnsi="Calibri"/>
          <w:b w:val="0"/>
          <w:i w:val="0"/>
          <w:color w:val="000000"/>
          <w:sz w:val="19"/>
        </w:rPr>
        <w:t xml:space="preserve"> El jerárquico es determinista, mientras que K-Means con una sola inicialización reproduce su reparto solo en el 40 % de las semillas (por eso se usa </w:t>
      </w:r>
      <w:r>
        <w:rPr>
          <w:rFonts w:ascii="Consolas" w:hAnsi="Consolas"/>
          <w:b w:val="0"/>
          <w:i w:val="0"/>
          <w:color w:val="000000"/>
          <w:sz w:val="17"/>
        </w:rPr>
        <w:t>n_init=10</w:t>
      </w:r>
      <w:r>
        <w:rPr>
          <w:rFonts w:ascii="Calibri" w:hAnsi="Calibri"/>
          <w:b w:val="0"/>
          <w:i w:val="0"/>
          <w:color w:val="000000"/>
          <w:sz w:val="19"/>
        </w:rPr>
        <w:t>). Pero Shiro recibe un día nuevo cada 24 horas, y la definición de «día de carga alta» no puede cambiar cada vez que se agrega un mes.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555555"/>
          <w:sz w:val="20"/>
        </w:rPr>
        <w:t>6.4 ¿Cuál técnica es más adecuada para nuestro caso?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94"/>
            <w:shd w:val="clear" w:color="auto" w:fill="1F3864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Criterio</w:t>
            </w:r>
          </w:p>
        </w:tc>
        <w:tc>
          <w:tcPr>
            <w:tcW w:type="dxa" w:w="1928"/>
            <w:shd w:val="clear" w:color="auto" w:fill="1F3864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K-Means</w:t>
            </w:r>
          </w:p>
        </w:tc>
        <w:tc>
          <w:tcPr>
            <w:tcW w:type="dxa" w:w="2948"/>
            <w:shd w:val="clear" w:color="auto" w:fill="1F3864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Jerárquico</w:t>
            </w:r>
          </w:p>
        </w:tc>
        <w:tc>
          <w:tcPr>
            <w:tcW w:type="dxa" w:w="1814"/>
            <w:shd w:val="clear" w:color="auto" w:fill="1F3864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Para Shiro</w:t>
            </w:r>
          </w:p>
        </w:tc>
      </w:tr>
      <w:tr>
        <w:tc>
          <w:tcPr>
            <w:tcW w:type="dxa" w:w="2494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Asignar un día nuevo</w:t>
            </w:r>
          </w:p>
        </w:tc>
        <w:tc>
          <w:tcPr>
            <w:tcW w:type="dxa" w:w="1928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predict (centroide)</w:t>
            </w:r>
          </w:p>
        </w:tc>
        <w:tc>
          <w:tcPr>
            <w:tcW w:type="dxa" w:w="2948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 tiene predict</w:t>
            </w:r>
          </w:p>
        </w:tc>
        <w:tc>
          <w:tcPr>
            <w:tcW w:type="dxa" w:w="1814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K-Means</w:t>
            </w:r>
          </w:p>
        </w:tc>
      </w:tr>
      <w:tr>
        <w:tc>
          <w:tcPr>
            <w:tcW w:type="dxa" w:w="2494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Estabilidad al añadir un mes</w:t>
            </w:r>
          </w:p>
        </w:tc>
        <w:tc>
          <w:tcPr>
            <w:tcW w:type="dxa" w:w="1928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ARI 1,000</w:t>
            </w:r>
          </w:p>
        </w:tc>
        <w:tc>
          <w:tcPr>
            <w:tcW w:type="dxa" w:w="2948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ARI 0,359 / 0,401</w:t>
            </w:r>
          </w:p>
        </w:tc>
        <w:tc>
          <w:tcPr>
            <w:tcW w:type="dxa" w:w="1814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K-Means</w:t>
            </w:r>
          </w:p>
        </w:tc>
      </w:tr>
      <w:tr>
        <w:tc>
          <w:tcPr>
            <w:tcW w:type="dxa" w:w="2494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Estimar el tipo a medio día</w:t>
            </w:r>
          </w:p>
        </w:tc>
        <w:tc>
          <w:tcPr>
            <w:tcW w:type="dxa" w:w="1928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Directo</w:t>
            </w:r>
          </w:p>
        </w:tc>
        <w:tc>
          <w:tcPr>
            <w:tcW w:type="dxa" w:w="2948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Solo con centroides derivados</w:t>
            </w:r>
          </w:p>
        </w:tc>
        <w:tc>
          <w:tcPr>
            <w:tcW w:type="dxa" w:w="1814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K-Means</w:t>
            </w:r>
          </w:p>
        </w:tc>
      </w:tr>
      <w:tr>
        <w:tc>
          <w:tcPr>
            <w:tcW w:type="dxa" w:w="2494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Criterio minimizado (inercia)</w:t>
            </w:r>
          </w:p>
        </w:tc>
        <w:tc>
          <w:tcPr>
            <w:tcW w:type="dxa" w:w="1928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11,76 M</w:t>
            </w:r>
          </w:p>
        </w:tc>
        <w:tc>
          <w:tcPr>
            <w:tcW w:type="dxa" w:w="2948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+3,8 %</w:t>
            </w:r>
          </w:p>
        </w:tc>
        <w:tc>
          <w:tcPr>
            <w:tcW w:type="dxa" w:w="1814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K-Means</w:t>
            </w:r>
          </w:p>
        </w:tc>
      </w:tr>
      <w:tr>
        <w:tc>
          <w:tcPr>
            <w:tcW w:type="dxa" w:w="2494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Coste</w:t>
            </w:r>
          </w:p>
        </w:tc>
        <w:tc>
          <w:tcPr>
            <w:tcW w:type="dxa" w:w="1928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Lineal</w:t>
            </w:r>
          </w:p>
        </w:tc>
        <w:tc>
          <w:tcPr>
            <w:tcW w:type="dxa" w:w="2948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O(n²): 1,6 GB para 19.735 lecturas</w:t>
            </w:r>
          </w:p>
        </w:tc>
        <w:tc>
          <w:tcPr>
            <w:tcW w:type="dxa" w:w="1814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K-Means</w:t>
            </w:r>
          </w:p>
        </w:tc>
      </w:tr>
      <w:tr>
        <w:tc>
          <w:tcPr>
            <w:tcW w:type="dxa" w:w="2494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Determinismo</w:t>
            </w:r>
          </w:p>
        </w:tc>
        <w:tc>
          <w:tcPr>
            <w:tcW w:type="dxa" w:w="1928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Necesita n_init</w:t>
            </w:r>
          </w:p>
        </w:tc>
        <w:tc>
          <w:tcPr>
            <w:tcW w:type="dxa" w:w="2948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Total</w:t>
            </w:r>
          </w:p>
        </w:tc>
        <w:tc>
          <w:tcPr>
            <w:tcW w:type="dxa" w:w="1814"/>
            <w:shd w:val="clear" w:color="auto" w:fill="FAFAFA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Jerárquico</w:t>
            </w:r>
          </w:p>
        </w:tc>
      </w:tr>
      <w:tr>
        <w:tc>
          <w:tcPr>
            <w:tcW w:type="dxa" w:w="2494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Estructura anidada</w:t>
            </w:r>
          </w:p>
        </w:tc>
        <w:tc>
          <w:tcPr>
            <w:tcW w:type="dxa" w:w="1928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</w:t>
            </w:r>
          </w:p>
        </w:tc>
        <w:tc>
          <w:tcPr>
            <w:tcW w:type="dxa" w:w="2948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Normal / intermedio / carga alta</w:t>
            </w:r>
          </w:p>
        </w:tc>
        <w:tc>
          <w:tcPr>
            <w:tcW w:type="dxa" w:w="1814"/>
          </w:tcPr>
          <w:p>
            <w:pPr>
              <w:keepNext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Jerárquico</w:t>
            </w:r>
          </w:p>
        </w:tc>
      </w:tr>
      <w:tr>
        <w:tc>
          <w:tcPr>
            <w:tcW w:type="dxa" w:w="2494"/>
            <w:shd w:val="clear" w:color="auto" w:fill="FAFAFA"/>
          </w:tcPr>
          <w:p>
            <w:pPr>
              <w:keepNext w:val="0"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Detectar días atípicos</w:t>
            </w:r>
          </w:p>
        </w:tc>
        <w:tc>
          <w:tcPr>
            <w:tcW w:type="dxa" w:w="1928"/>
            <w:shd w:val="clear" w:color="auto" w:fill="FAFAFA"/>
          </w:tcPr>
          <w:p>
            <w:pPr>
              <w:keepNext w:val="0"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Los absorbe</w:t>
            </w:r>
          </w:p>
        </w:tc>
        <w:tc>
          <w:tcPr>
            <w:tcW w:type="dxa" w:w="2948"/>
            <w:shd w:val="clear" w:color="auto" w:fill="FAFAFA"/>
          </w:tcPr>
          <w:p>
            <w:pPr>
              <w:keepNext w:val="0"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Average / complete los aíslan</w:t>
            </w:r>
          </w:p>
        </w:tc>
        <w:tc>
          <w:tcPr>
            <w:tcW w:type="dxa" w:w="1814"/>
            <w:shd w:val="clear" w:color="auto" w:fill="FAFAFA"/>
          </w:tcPr>
          <w:p>
            <w:pPr>
              <w:keepNext w:val="0"/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Jerárquico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3E8"/>
          </w:tcPr>
          <w:p>
            <w:pPr>
              <w:spacing w:before="80" w:after="40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 xml:space="preserve">K-Means para producción; jerárquico para auditoría.  </w:t>
            </w: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K-Means asigna el tipo de día en línea, es estable cuando llegan datos y permite estimar el tipo con la curva parcial. El jerárquico no puede hacer ninguna de esas tres cosas, pero aportó lo que K-Means no da: confirmó que los dos tipos no son un artefacto (dos criterios de fusión, 94 % de acuerdo), mostró el nivel intermedio y señaló los días que no encajan en ningún tipo.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8" w:space="3" w:color="1F3864"/>
        </w:pBdr>
      </w:pPr>
      <w:r>
        <w:rPr>
          <w:rFonts w:ascii="Calibri" w:hAnsi="Calibri"/>
          <w:b/>
          <w:color w:val="1F3864"/>
          <w:sz w:val="28"/>
        </w:rPr>
        <w:t>Cierre — qué cambia en el diseño de Shiro</w:t>
      </w:r>
    </w:p>
    <w:p>
      <w:pPr>
        <w:spacing w:after="100"/>
        <w:ind w:left="397" w:hanging="397"/>
        <w:jc w:val="both"/>
      </w:pPr>
      <w:r>
        <w:rPr>
          <w:b/>
          <w:color w:val="1F3864"/>
          <w:sz w:val="19"/>
        </w:rPr>
        <w:t xml:space="preserve">1.  </w:t>
      </w:r>
      <w:r>
        <w:rPr>
          <w:rFonts w:ascii="Calibri" w:hAnsi="Calibri"/>
          <w:b/>
          <w:sz w:val="19"/>
        </w:rPr>
        <w:t xml:space="preserve">La variable «tipo de día» queda auditada. </w:t>
      </w:r>
      <w:r>
        <w:rPr>
          <w:rFonts w:ascii="Calibri" w:hAnsi="Calibri"/>
          <w:b w:val="0"/>
          <w:i w:val="0"/>
          <w:color w:val="000000"/>
          <w:sz w:val="19"/>
        </w:rPr>
        <w:t>Ward y complete eligen k = 2 con el mismo tamaño (114 / 22) y coinciden con K-Means en el 94 % de los días. Los dos tipos son una propiedad de la casa.</w:t>
      </w:r>
    </w:p>
    <w:p>
      <w:pPr>
        <w:spacing w:after="100"/>
        <w:ind w:left="397" w:hanging="397"/>
        <w:jc w:val="both"/>
      </w:pPr>
      <w:r>
        <w:rPr>
          <w:b/>
          <w:color w:val="1F3864"/>
          <w:sz w:val="19"/>
        </w:rPr>
        <w:t xml:space="preserve">2.  </w:t>
      </w:r>
      <w:r>
        <w:rPr>
          <w:rFonts w:ascii="Calibri" w:hAnsi="Calibri"/>
          <w:b/>
          <w:sz w:val="19"/>
        </w:rPr>
        <w:t xml:space="preserve">Su frontera es difusa, y ahora está medida. </w:t>
      </w:r>
      <w:r>
        <w:rPr>
          <w:rFonts w:ascii="Calibri" w:hAnsi="Calibri"/>
          <w:b w:val="0"/>
          <w:i w:val="0"/>
          <w:color w:val="000000"/>
          <w:sz w:val="19"/>
        </w:rPr>
        <w:t>Los 8 desacuerdos están en el 20 % de días más cercanos a la frontera. El MDP lleva el tipo con su margen como confianza.</w:t>
      </w:r>
    </w:p>
    <w:p>
      <w:pPr>
        <w:spacing w:after="100"/>
        <w:ind w:left="397" w:hanging="397"/>
        <w:jc w:val="both"/>
      </w:pPr>
      <w:r>
        <w:rPr>
          <w:b/>
          <w:color w:val="1F3864"/>
          <w:sz w:val="19"/>
        </w:rPr>
        <w:t xml:space="preserve">3.  </w:t>
      </w:r>
      <w:r>
        <w:rPr>
          <w:rFonts w:ascii="Calibri" w:hAnsi="Calibri"/>
          <w:b/>
          <w:sz w:val="19"/>
        </w:rPr>
        <w:t xml:space="preserve">K-Means asigna el tipo en producción. </w:t>
      </w:r>
      <w:r>
        <w:rPr>
          <w:rFonts w:ascii="Calibri" w:hAnsi="Calibri"/>
          <w:b w:val="0"/>
          <w:i w:val="0"/>
          <w:color w:val="000000"/>
          <w:sz w:val="19"/>
        </w:rPr>
        <w:t>Estable al agregar un mes (ARI 1,000 frente a 0,359), con predict y con estimación a medio día.</w:t>
      </w:r>
    </w:p>
    <w:p>
      <w:pPr>
        <w:spacing w:after="100"/>
        <w:ind w:left="397" w:hanging="397"/>
        <w:jc w:val="both"/>
      </w:pPr>
      <w:r>
        <w:rPr>
          <w:b/>
          <w:color w:val="1F3864"/>
          <w:sz w:val="19"/>
        </w:rPr>
        <w:t xml:space="preserve">4.  </w:t>
      </w:r>
      <w:r>
        <w:rPr>
          <w:rFonts w:ascii="Calibri" w:hAnsi="Calibri"/>
          <w:b/>
          <w:sz w:val="19"/>
        </w:rPr>
        <w:t xml:space="preserve">El jerárquico entra como auditoría mensual. </w:t>
      </w:r>
      <w:r>
        <w:rPr>
          <w:rFonts w:ascii="Calibri" w:hAnsi="Calibri"/>
          <w:b w:val="0"/>
          <w:i w:val="0"/>
          <w:color w:val="000000"/>
          <w:sz w:val="19"/>
        </w:rPr>
        <w:t>En cada reentrenamiento del gemelo se vuelve a correr. Si su acuerdo con K-Means cae, la definición de tipo de día está cambiando.</w:t>
      </w:r>
    </w:p>
    <w:p>
      <w:pPr>
        <w:spacing w:after="100"/>
        <w:ind w:left="397" w:hanging="397"/>
        <w:jc w:val="both"/>
      </w:pPr>
      <w:r>
        <w:rPr>
          <w:b/>
          <w:color w:val="1F3864"/>
          <w:sz w:val="19"/>
        </w:rPr>
        <w:t xml:space="preserve">5.  </w:t>
      </w:r>
      <w:r>
        <w:rPr>
          <w:rFonts w:ascii="Calibri" w:hAnsi="Calibri"/>
          <w:b/>
          <w:sz w:val="19"/>
        </w:rPr>
        <w:t xml:space="preserve">Nueva convención: k nunca se elige solo por la métrica. </w:t>
      </w:r>
      <w:r>
        <w:rPr>
          <w:rFonts w:ascii="Calibri" w:hAnsi="Calibri"/>
          <w:b w:val="0"/>
          <w:i w:val="0"/>
          <w:color w:val="000000"/>
          <w:sz w:val="19"/>
        </w:rPr>
        <w:t>Silueta (0,423) y Dunn (0,475) eligieron un tipo de día con un solo ejemplar. Se exige un tamaño mínimo de clúster del 5 %.</w:t>
      </w:r>
    </w:p>
    <w:p>
      <w:pPr>
        <w:spacing w:after="100"/>
        <w:ind w:left="397" w:hanging="397"/>
        <w:jc w:val="both"/>
      </w:pPr>
      <w:r>
        <w:rPr>
          <w:b/>
          <w:color w:val="1F3864"/>
          <w:sz w:val="19"/>
        </w:rPr>
        <w:t xml:space="preserve">6.  </w:t>
      </w:r>
      <w:r>
        <w:rPr>
          <w:rFonts w:ascii="Calibri" w:hAnsi="Calibri"/>
          <w:b/>
          <w:sz w:val="19"/>
        </w:rPr>
        <w:t xml:space="preserve">Hay días atípicos, raros por cuándo consumen. </w:t>
      </w:r>
      <w:r>
        <w:rPr>
          <w:rFonts w:ascii="Calibri" w:hAnsi="Calibri"/>
          <w:b w:val="0"/>
          <w:i w:val="0"/>
          <w:color w:val="000000"/>
          <w:sz w:val="19"/>
        </w:rPr>
        <w:t>24-ene, 16-mar y 15-abr. El gemelo no debe aprenderlos como rutina; el taller de DBSCAN los busca con un método hecho para eso.</w:t>
      </w:r>
    </w:p>
    <w:p>
      <w:pPr>
        <w:spacing w:after="100"/>
        <w:ind w:left="397" w:hanging="397"/>
        <w:jc w:val="both"/>
      </w:pPr>
      <w:r>
        <w:rPr>
          <w:b/>
          <w:color w:val="1F3864"/>
          <w:sz w:val="19"/>
        </w:rPr>
        <w:t xml:space="preserve">7.  </w:t>
      </w:r>
      <w:r>
        <w:rPr>
          <w:rFonts w:ascii="Calibri" w:hAnsi="Calibri"/>
          <w:b/>
          <w:sz w:val="19"/>
        </w:rPr>
        <w:t xml:space="preserve">Para curvas en una misma unidad, no se estandariza. </w:t>
      </w:r>
      <w:r>
        <w:rPr>
          <w:rFonts w:ascii="Calibri" w:hAnsi="Calibri"/>
          <w:b w:val="0"/>
          <w:i w:val="0"/>
          <w:color w:val="000000"/>
          <w:sz w:val="19"/>
        </w:rPr>
        <w:t>En el jerárquico, estandarizar vuelve degenerados a los enlaces que no promedian.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