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0"/>
        <w:jc w:val="center"/>
      </w:pPr>
      <w:r>
        <w:drawing>
          <wp:inline distT="0" distB="0" distL="0" distR="0">
            <wp:extent cx="1047750" cy="12096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0" cy="1209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Bdr>
          <w:bottom w:val="single" w:color="CBD5E1" w:sz="4"/>
        </w:pBdr>
        <w:spacing w:after="140" w:before="0"/>
      </w:pPr>
    </w:p>
    <w:p>
      <w:pPr>
        <w:spacing w:after="45" w:before="100"/>
      </w:pPr>
      <w:r>
        <w:rPr>
          <w:rFonts w:ascii="Century Gothic" w:cs="Century Gothic" w:eastAsia="Century Gothic" w:hAnsi="Century Gothic"/>
          <w:b/>
          <w:bCs/>
          <w:color w:val="1A3060"/>
          <w:sz w:val="38"/>
          <w:szCs w:val="38"/>
        </w:rPr>
        <w:t xml:space="preserve">Resumen de Trabajo Realizado</w:t>
      </w:r>
    </w:p>
    <w:p>
      <w:pPr>
        <w:spacing w:after="220" w:before="0"/>
      </w:pPr>
      <w:r>
        <w:rPr>
          <w:rFonts w:ascii="Century Gothic" w:cs="Century Gothic" w:eastAsia="Century Gothic" w:hAnsi="Century Gothic"/>
          <w:color w:val="6B7280"/>
          <w:sz w:val="18"/>
          <w:szCs w:val="18"/>
        </w:rPr>
        <w:t xml:space="preserve">Hispanic Financial  •  Álvaro Patiño  •  Julio 2026</w:t>
      </w:r>
    </w:p>
    <w:tbl>
      <w:tblPr>
        <w:tblW w:type="dxa" w:w="900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2250"/>
        <w:gridCol w:w="2250"/>
        <w:gridCol w:w="2250"/>
        <w:gridCol w:w="2250"/>
      </w:tblGrid>
      <w:tr>
        <w:tc>
          <w:tcPr>
            <w:tcW w:type="dxa" w:w="2250"/>
            <w:tcBorders>
              <w:top w:val="none"/>
              <w:left w:val="none"/>
              <w:bottom w:val="none"/>
              <w:right w:val="none"/>
            </w:tcBorders>
            <w:shd w:fill="EFF4FB" w:color="auto" w:val="clear"/>
            <w:tcMar>
              <w:top w:type="dxa" w:w="144"/>
              <w:left w:type="dxa" w:w="215"/>
              <w:bottom w:type="dxa" w:w="144"/>
              <w:right w:type="dxa" w:w="215"/>
            </w:tcMar>
          </w:tcPr>
          <w:p>
            <w:pPr>
              <w:spacing w:after="8" w:before="0"/>
              <w:jc w:val="center"/>
            </w:pPr>
            <w:r>
              <w:rPr>
                <w:rFonts w:ascii="Century Gothic" w:cs="Century Gothic" w:eastAsia="Century Gothic" w:hAnsi="Century Gothic"/>
                <w:b/>
                <w:bCs/>
                <w:color w:val="1A3060"/>
                <w:sz w:val="40"/>
                <w:szCs w:val="40"/>
              </w:rPr>
              <w:t xml:space="preserve">12</w:t>
            </w:r>
          </w:p>
          <w:p>
            <w:pPr>
              <w:spacing w:after="0" w:before="0"/>
              <w:jc w:val="center"/>
            </w:pPr>
            <w:r>
              <w:rPr>
                <w:rFonts w:ascii="Century Gothic" w:cs="Century Gothic" w:eastAsia="Century Gothic" w:hAnsi="Century Gothic"/>
                <w:color w:val="6B7280"/>
                <w:sz w:val="16"/>
                <w:szCs w:val="16"/>
              </w:rPr>
              <w:t xml:space="preserve">Mejoras</w:t>
            </w:r>
          </w:p>
        </w:tc>
        <w:tc>
          <w:tcPr>
            <w:tcW w:type="dxa" w:w="2250"/>
            <w:tcBorders>
              <w:top w:val="none"/>
              <w:left w:val="none"/>
              <w:bottom w:val="none"/>
              <w:right w:val="none"/>
            </w:tcBorders>
            <w:shd w:fill="EFF4FB" w:color="auto" w:val="clear"/>
            <w:tcMar>
              <w:top w:type="dxa" w:w="144"/>
              <w:left w:type="dxa" w:w="215"/>
              <w:bottom w:type="dxa" w:w="144"/>
              <w:right w:type="dxa" w:w="215"/>
            </w:tcMar>
          </w:tcPr>
          <w:p>
            <w:pPr>
              <w:spacing w:after="8" w:before="0"/>
              <w:jc w:val="center"/>
            </w:pPr>
            <w:r>
              <w:rPr>
                <w:rFonts w:ascii="Century Gothic" w:cs="Century Gothic" w:eastAsia="Century Gothic" w:hAnsi="Century Gothic"/>
                <w:b/>
                <w:bCs/>
                <w:color w:val="1A3060"/>
                <w:sz w:val="40"/>
                <w:szCs w:val="40"/>
              </w:rPr>
              <w:t xml:space="preserve">50+</w:t>
            </w:r>
          </w:p>
          <w:p>
            <w:pPr>
              <w:spacing w:after="0" w:before="0"/>
              <w:jc w:val="center"/>
            </w:pPr>
            <w:r>
              <w:rPr>
                <w:rFonts w:ascii="Century Gothic" w:cs="Century Gothic" w:eastAsia="Century Gothic" w:hAnsi="Century Gothic"/>
                <w:color w:val="6B7280"/>
                <w:sz w:val="16"/>
                <w:szCs w:val="16"/>
              </w:rPr>
              <w:t xml:space="preserve">Páginas nuevas</w:t>
            </w:r>
          </w:p>
        </w:tc>
        <w:tc>
          <w:tcPr>
            <w:tcW w:type="dxa" w:w="2250"/>
            <w:tcBorders>
              <w:top w:val="none"/>
              <w:left w:val="none"/>
              <w:bottom w:val="none"/>
              <w:right w:val="none"/>
            </w:tcBorders>
            <w:shd w:fill="EFF4FB" w:color="auto" w:val="clear"/>
            <w:tcMar>
              <w:top w:type="dxa" w:w="144"/>
              <w:left w:type="dxa" w:w="215"/>
              <w:bottom w:type="dxa" w:w="144"/>
              <w:right w:type="dxa" w:w="215"/>
            </w:tcMar>
          </w:tcPr>
          <w:p>
            <w:pPr>
              <w:spacing w:after="8" w:before="0"/>
              <w:jc w:val="center"/>
            </w:pPr>
            <w:r>
              <w:rPr>
                <w:rFonts w:ascii="Century Gothic" w:cs="Century Gothic" w:eastAsia="Century Gothic" w:hAnsi="Century Gothic"/>
                <w:b/>
                <w:bCs/>
                <w:color w:val="1A3060"/>
                <w:sz w:val="40"/>
                <w:szCs w:val="40"/>
              </w:rPr>
              <w:t xml:space="preserve">90+</w:t>
            </w:r>
          </w:p>
          <w:p>
            <w:pPr>
              <w:spacing w:after="0" w:before="0"/>
              <w:jc w:val="center"/>
            </w:pPr>
            <w:r>
              <w:rPr>
                <w:rFonts w:ascii="Century Gothic" w:cs="Century Gothic" w:eastAsia="Century Gothic" w:hAnsi="Century Gothic"/>
                <w:color w:val="6B7280"/>
                <w:sz w:val="16"/>
                <w:szCs w:val="16"/>
              </w:rPr>
              <w:t xml:space="preserve">URLs en sitemap</w:t>
            </w:r>
          </w:p>
        </w:tc>
        <w:tc>
          <w:tcPr>
            <w:tcW w:type="dxa" w:w="2250"/>
            <w:tcBorders>
              <w:top w:val="none"/>
              <w:left w:val="none"/>
              <w:bottom w:val="none"/>
              <w:right w:val="none"/>
            </w:tcBorders>
            <w:shd w:fill="EFF4FB" w:color="auto" w:val="clear"/>
            <w:tcMar>
              <w:top w:type="dxa" w:w="144"/>
              <w:left w:type="dxa" w:w="215"/>
              <w:bottom w:type="dxa" w:w="144"/>
              <w:right w:type="dxa" w:w="215"/>
            </w:tcMar>
          </w:tcPr>
          <w:p>
            <w:pPr>
              <w:spacing w:after="8" w:before="0"/>
              <w:jc w:val="center"/>
            </w:pPr>
            <w:r>
              <w:rPr>
                <w:rFonts w:ascii="Century Gothic" w:cs="Century Gothic" w:eastAsia="Century Gothic" w:hAnsi="Century Gothic"/>
                <w:b/>
                <w:bCs/>
                <w:color w:val="1A3060"/>
                <w:sz w:val="40"/>
                <w:szCs w:val="40"/>
              </w:rPr>
              <w:t xml:space="preserve">8</w:t>
            </w:r>
          </w:p>
          <w:p>
            <w:pPr>
              <w:spacing w:after="0" w:before="0"/>
              <w:jc w:val="center"/>
            </w:pPr>
            <w:r>
              <w:rPr>
                <w:rFonts w:ascii="Century Gothic" w:cs="Century Gothic" w:eastAsia="Century Gothic" w:hAnsi="Century Gothic"/>
                <w:color w:val="6B7280"/>
                <w:sz w:val="16"/>
                <w:szCs w:val="16"/>
              </w:rPr>
              <w:t xml:space="preserve">Países alcanzados</w:t>
            </w:r>
          </w:p>
        </w:tc>
      </w:tr>
    </w:tbl>
    <w:p>
      <w:pPr>
        <w:spacing w:after="240" w:before="0"/>
      </w:pPr>
    </w:p>
    <w:p>
      <w:pPr>
        <w:spacing w:after="40" w:before="240"/>
      </w:pPr>
      <w:r>
        <w:rPr>
          <w:rFonts w:ascii="Century Gothic" w:cs="Century Gothic" w:eastAsia="Century Gothic" w:hAnsi="Century Gothic"/>
          <w:b/>
          <w:bCs/>
          <w:color w:val="2F73C5"/>
          <w:sz w:val="14"/>
          <w:szCs w:val="14"/>
        </w:rPr>
        <w:t xml:space="preserve">01 — TÍTULOS Y DESCRIPCIONES</w:t>
      </w:r>
    </w:p>
    <w:p>
      <w:pPr>
        <w:spacing w:after="70" w:before="0"/>
      </w:pPr>
      <w:r>
        <w:rPr>
          <w:rFonts w:ascii="Century Gothic" w:cs="Century Gothic" w:eastAsia="Century Gothic" w:hAnsi="Century Gothic"/>
          <w:b/>
          <w:bCs/>
          <w:color w:val="1A3060"/>
          <w:sz w:val="25"/>
          <w:szCs w:val="25"/>
        </w:rPr>
        <w:t xml:space="preserve">Cada página tiene su propia identidad en Google</w:t>
      </w:r>
    </w:p>
    <w:p>
      <w:pPr>
        <w:spacing w:after="65" w:before="0"/>
      </w:pPr>
      <w:r>
        <w:rPr>
          <w:rFonts w:ascii="Century Gothic" w:cs="Century Gothic" w:eastAsia="Century Gothic" w:hAnsi="Century Gothic"/>
          <w:i w:val="false"/>
          <w:iCs w:val="false"/>
          <w:color w:val="374151"/>
          <w:sz w:val="20"/>
          <w:szCs w:val="20"/>
        </w:rPr>
        <w:t xml:space="preserve">Antes todas las páginas se veían casi iguales en los resultados de búsqueda. Ahora cada una tiene un título y descripción únicos, en español e inglés, diseñados para generar más clics.</w:t>
      </w:r>
    </w:p>
    <w:p>
      <w:pPr>
        <w:spacing w:after="28" w:before="28"/>
        <w:ind w:left="144"/>
      </w:pPr>
      <w:r>
        <w:rPr>
          <w:rFonts w:ascii="Century Gothic" w:cs="Century Gothic" w:eastAsia="Century Gothic" w:hAnsi="Century Gothic"/>
          <w:b/>
          <w:bCs/>
          <w:color w:val="2F73C5"/>
          <w:sz w:val="20"/>
          <w:szCs w:val="20"/>
        </w:rPr>
        <w:t xml:space="preserve">→  </w:t>
      </w:r>
      <w:r>
        <w:rPr>
          <w:rFonts w:ascii="Century Gothic" w:cs="Century Gothic" w:eastAsia="Century Gothic" w:hAnsi="Century Gothic"/>
          <w:b/>
          <w:bCs/>
          <w:color w:val="1A3060"/>
          <w:sz w:val="20"/>
          <w:szCs w:val="20"/>
        </w:rPr>
        <w:t xml:space="preserve">Resultado: </w:t>
      </w:r>
      <w:r>
        <w:rPr>
          <w:rFonts w:ascii="Century Gothic" w:cs="Century Gothic" w:eastAsia="Century Gothic" w:hAnsi="Century Gothic"/>
          <w:color w:val="374151"/>
          <w:sz w:val="20"/>
          <w:szCs w:val="20"/>
        </w:rPr>
        <w:t xml:space="preserve">Google puede diferenciar y rankear cada página por separado.</w:t>
      </w:r>
    </w:p>
    <w:p>
      <w:pPr>
        <w:spacing w:after="100" w:before="0"/>
      </w:pPr>
    </w:p>
    <w:p>
      <w:pPr>
        <w:spacing w:after="40" w:before="240"/>
      </w:pPr>
      <w:r>
        <w:rPr>
          <w:rFonts w:ascii="Century Gothic" w:cs="Century Gothic" w:eastAsia="Century Gothic" w:hAnsi="Century Gothic"/>
          <w:b/>
          <w:bCs/>
          <w:color w:val="2F73C5"/>
          <w:sz w:val="14"/>
          <w:szCs w:val="14"/>
        </w:rPr>
        <w:t xml:space="preserve">02 — BILINGÜE SIN DUPLICADOS</w:t>
      </w:r>
    </w:p>
    <w:p>
      <w:pPr>
        <w:spacing w:after="70" w:before="0"/>
      </w:pPr>
      <w:r>
        <w:rPr>
          <w:rFonts w:ascii="Century Gothic" w:cs="Century Gothic" w:eastAsia="Century Gothic" w:hAnsi="Century Gothic"/>
          <w:b/>
          <w:bCs/>
          <w:color w:val="1A3060"/>
          <w:sz w:val="25"/>
          <w:szCs w:val="25"/>
        </w:rPr>
        <w:t xml:space="preserve">Las versiones en español e inglés trabajan juntas, no en contra</w:t>
      </w:r>
    </w:p>
    <w:p>
      <w:pPr>
        <w:spacing w:after="65" w:before="0"/>
      </w:pPr>
      <w:r>
        <w:rPr>
          <w:rFonts w:ascii="Century Gothic" w:cs="Century Gothic" w:eastAsia="Century Gothic" w:hAnsi="Century Gothic"/>
          <w:i w:val="false"/>
          <w:iCs w:val="false"/>
          <w:color w:val="374151"/>
          <w:sz w:val="20"/>
          <w:szCs w:val="20"/>
        </w:rPr>
        <w:t xml:space="preserve">Configuramos las etiquetas correctas para que Google sepa cuándo mostrar la versión en español y cuándo la inglesa, en lugar de tratarlas como páginas repetidas y penalizarlas.</w:t>
      </w:r>
    </w:p>
    <w:p>
      <w:pPr>
        <w:spacing w:after="28" w:before="28"/>
        <w:ind w:left="144"/>
      </w:pPr>
      <w:r>
        <w:rPr>
          <w:rFonts w:ascii="Century Gothic" w:cs="Century Gothic" w:eastAsia="Century Gothic" w:hAnsi="Century Gothic"/>
          <w:b/>
          <w:bCs/>
          <w:color w:val="2F73C5"/>
          <w:sz w:val="20"/>
          <w:szCs w:val="20"/>
        </w:rPr>
        <w:t xml:space="preserve">→  </w:t>
      </w:r>
      <w:r>
        <w:rPr>
          <w:rFonts w:ascii="Century Gothic" w:cs="Century Gothic" w:eastAsia="Century Gothic" w:hAnsi="Century Gothic"/>
          <w:b/>
          <w:bCs/>
          <w:color w:val="1A3060"/>
          <w:sz w:val="20"/>
          <w:szCs w:val="20"/>
        </w:rPr>
        <w:t xml:space="preserve">Resultado: </w:t>
      </w:r>
      <w:r>
        <w:rPr>
          <w:rFonts w:ascii="Century Gothic" w:cs="Century Gothic" w:eastAsia="Century Gothic" w:hAnsi="Century Gothic"/>
          <w:color w:val="374151"/>
          <w:sz w:val="20"/>
          <w:szCs w:val="20"/>
        </w:rPr>
        <w:t xml:space="preserve">Más tráfico tanto de la comunidad hispana como de clientes angloparlantes.</w:t>
      </w:r>
    </w:p>
    <w:p>
      <w:pPr>
        <w:spacing w:after="100" w:before="0"/>
      </w:pPr>
    </w:p>
    <w:p>
      <w:pPr>
        <w:spacing w:after="40" w:before="240"/>
      </w:pPr>
      <w:r>
        <w:rPr>
          <w:rFonts w:ascii="Century Gothic" w:cs="Century Gothic" w:eastAsia="Century Gothic" w:hAnsi="Century Gothic"/>
          <w:b/>
          <w:bCs/>
          <w:color w:val="2F73C5"/>
          <w:sz w:val="14"/>
          <w:szCs w:val="14"/>
        </w:rPr>
        <w:t xml:space="preserve">03 — REPUTACIÓN Y CONFIANZA</w:t>
      </w:r>
    </w:p>
    <w:p>
      <w:pPr>
        <w:spacing w:after="70" w:before="0"/>
      </w:pPr>
      <w:r>
        <w:rPr>
          <w:rFonts w:ascii="Century Gothic" w:cs="Century Gothic" w:eastAsia="Century Gothic" w:hAnsi="Century Gothic"/>
          <w:b/>
          <w:bCs/>
          <w:color w:val="1A3060"/>
          <w:sz w:val="25"/>
          <w:szCs w:val="25"/>
        </w:rPr>
        <w:t xml:space="preserve">Google reconoce a Álvaro Patiño como experto</w:t>
      </w:r>
    </w:p>
    <w:p>
      <w:pPr>
        <w:spacing w:after="65" w:before="0"/>
      </w:pPr>
      <w:r>
        <w:rPr>
          <w:rFonts w:ascii="Century Gothic" w:cs="Century Gothic" w:eastAsia="Century Gothic" w:hAnsi="Century Gothic"/>
          <w:i w:val="false"/>
          <w:iCs w:val="false"/>
          <w:color w:val="374151"/>
          <w:sz w:val="20"/>
          <w:szCs w:val="20"/>
        </w:rPr>
        <w:t xml:space="preserve">Agregamos información estructurada sobre Álvaro: trayectoria, especialidades, idiomas y redes sociales. Esto le indica a Google que el sitio está respaldado por una persona real con 20+ años de experiencia.</w:t>
      </w:r>
    </w:p>
    <w:p>
      <w:pPr>
        <w:spacing w:after="28" w:before="28"/>
        <w:ind w:left="144"/>
      </w:pPr>
      <w:r>
        <w:rPr>
          <w:rFonts w:ascii="Century Gothic" w:cs="Century Gothic" w:eastAsia="Century Gothic" w:hAnsi="Century Gothic"/>
          <w:b/>
          <w:bCs/>
          <w:color w:val="2F73C5"/>
          <w:sz w:val="20"/>
          <w:szCs w:val="20"/>
        </w:rPr>
        <w:t xml:space="preserve">→  </w:t>
      </w:r>
      <w:r>
        <w:rPr>
          <w:rFonts w:ascii="Century Gothic" w:cs="Century Gothic" w:eastAsia="Century Gothic" w:hAnsi="Century Gothic"/>
          <w:b/>
          <w:bCs/>
          <w:color w:val="1A3060"/>
          <w:sz w:val="20"/>
          <w:szCs w:val="20"/>
        </w:rPr>
        <w:t xml:space="preserve">Resultado: </w:t>
      </w:r>
      <w:r>
        <w:rPr>
          <w:rFonts w:ascii="Century Gothic" w:cs="Century Gothic" w:eastAsia="Century Gothic" w:hAnsi="Century Gothic"/>
          <w:color w:val="374151"/>
          <w:sz w:val="20"/>
          <w:szCs w:val="20"/>
        </w:rPr>
        <w:t xml:space="preserve">Mayor credibilidad del sitio ante los algoritmos de búsqueda.</w:t>
      </w:r>
    </w:p>
    <w:p>
      <w:pPr>
        <w:spacing w:after="100" w:before="0"/>
      </w:pPr>
    </w:p>
    <w:p>
      <w:pPr>
        <w:spacing w:after="40" w:before="240"/>
      </w:pPr>
      <w:r>
        <w:rPr>
          <w:rFonts w:ascii="Century Gothic" w:cs="Century Gothic" w:eastAsia="Century Gothic" w:hAnsi="Century Gothic"/>
          <w:b/>
          <w:bCs/>
          <w:color w:val="2F73C5"/>
          <w:sz w:val="14"/>
          <w:szCs w:val="14"/>
        </w:rPr>
        <w:t xml:space="preserve">04 — PÁGINAS DE SERVICIO</w:t>
      </w:r>
    </w:p>
    <w:p>
      <w:pPr>
        <w:spacing w:after="70" w:before="0"/>
      </w:pPr>
      <w:r>
        <w:rPr>
          <w:rFonts w:ascii="Century Gothic" w:cs="Century Gothic" w:eastAsia="Century Gothic" w:hAnsi="Century Gothic"/>
          <w:b/>
          <w:bCs/>
          <w:color w:val="1A3060"/>
          <w:sz w:val="25"/>
          <w:szCs w:val="25"/>
        </w:rPr>
        <w:t xml:space="preserve">7 páginas dedicadas, una por cada servicio</w:t>
      </w:r>
    </w:p>
    <w:p>
      <w:pPr>
        <w:spacing w:after="65" w:before="0"/>
      </w:pPr>
      <w:r>
        <w:rPr>
          <w:rFonts w:ascii="Century Gothic" w:cs="Century Gothic" w:eastAsia="Century Gothic" w:hAnsi="Century Gothic"/>
          <w:i w:val="false"/>
          <w:iCs w:val="false"/>
          <w:color w:val="374151"/>
          <w:sz w:val="20"/>
          <w:szCs w:val="20"/>
        </w:rPr>
        <w:t xml:space="preserve">Creamos una página individual para Impuestos, LLC, Contabilidad, Real Estate, Protección Patrimonial, Payroll e ITIN. Cada una aparece en búsquedas específicas de ese servicio.</w:t>
      </w:r>
    </w:p>
    <w:p>
      <w:pPr>
        <w:spacing w:after="28" w:before="28"/>
        <w:ind w:left="144"/>
      </w:pPr>
      <w:r>
        <w:rPr>
          <w:rFonts w:ascii="Century Gothic" w:cs="Century Gothic" w:eastAsia="Century Gothic" w:hAnsi="Century Gothic"/>
          <w:b/>
          <w:bCs/>
          <w:color w:val="2F73C5"/>
          <w:sz w:val="20"/>
          <w:szCs w:val="20"/>
        </w:rPr>
        <w:t xml:space="preserve">→  </w:t>
      </w:r>
      <w:r>
        <w:rPr>
          <w:rFonts w:ascii="Century Gothic" w:cs="Century Gothic" w:eastAsia="Century Gothic" w:hAnsi="Century Gothic"/>
          <w:b/>
          <w:bCs/>
          <w:color w:val="1A3060"/>
          <w:sz w:val="20"/>
          <w:szCs w:val="20"/>
        </w:rPr>
        <w:t xml:space="preserve">Destacado: </w:t>
      </w:r>
      <w:r>
        <w:rPr>
          <w:rFonts w:ascii="Century Gothic" w:cs="Century Gothic" w:eastAsia="Century Gothic" w:hAnsi="Century Gothic"/>
          <w:color w:val="374151"/>
          <w:sz w:val="20"/>
          <w:szCs w:val="20"/>
        </w:rPr>
        <w:t xml:space="preserve">La página de ITIN posiciona a Hispanic Financial como Agente Certificado — los clientes no tienen que enviar su pasaporte por correo, algo que muy pocos competidores ofrecen.</w:t>
      </w:r>
    </w:p>
    <w:p>
      <w:pPr>
        <w:spacing w:after="100" w:before="0"/>
      </w:pPr>
    </w:p>
    <w:p>
      <w:pPr>
        <w:spacing w:after="40" w:before="240"/>
      </w:pPr>
      <w:r>
        <w:rPr>
          <w:rFonts w:ascii="Century Gothic" w:cs="Century Gothic" w:eastAsia="Century Gothic" w:hAnsi="Century Gothic"/>
          <w:b/>
          <w:bCs/>
          <w:color w:val="2F73C5"/>
          <w:sz w:val="14"/>
          <w:szCs w:val="14"/>
        </w:rPr>
        <w:t xml:space="preserve">05 — BLOG</w:t>
      </w:r>
    </w:p>
    <w:p>
      <w:pPr>
        <w:spacing w:after="70" w:before="0"/>
      </w:pPr>
      <w:r>
        <w:rPr>
          <w:rFonts w:ascii="Century Gothic" w:cs="Century Gothic" w:eastAsia="Century Gothic" w:hAnsi="Century Gothic"/>
          <w:b/>
          <w:bCs/>
          <w:color w:val="1A3060"/>
          <w:sz w:val="25"/>
          <w:szCs w:val="25"/>
        </w:rPr>
        <w:t xml:space="preserve">3 artículos que atraen clientes antes de que sepan que te necesitan</w:t>
      </w:r>
    </w:p>
    <w:p>
      <w:pPr>
        <w:spacing w:after="65" w:before="0"/>
      </w:pPr>
      <w:r>
        <w:rPr>
          <w:rFonts w:ascii="Century Gothic" w:cs="Century Gothic" w:eastAsia="Century Gothic" w:hAnsi="Century Gothic"/>
          <w:i w:val="false"/>
          <w:iCs w:val="false"/>
          <w:color w:val="374151"/>
          <w:sz w:val="20"/>
          <w:szCs w:val="20"/>
        </w:rPr>
        <w:t xml:space="preserve">Publicamos artículos sobre temas que la comunidad hispana busca activamente: ITIN 2026, impuestos para inmigrantes, y cómo crear una LLC en Florida. Cada artículo lleva al lector directo a la página del servicio correspondiente.</w:t>
      </w:r>
    </w:p>
    <w:p>
      <w:pPr>
        <w:spacing w:after="28" w:before="28"/>
        <w:ind w:left="144"/>
      </w:pPr>
      <w:r>
        <w:rPr>
          <w:rFonts w:ascii="Century Gothic" w:cs="Century Gothic" w:eastAsia="Century Gothic" w:hAnsi="Century Gothic"/>
          <w:b/>
          <w:bCs/>
          <w:color w:val="2F73C5"/>
          <w:sz w:val="20"/>
          <w:szCs w:val="20"/>
        </w:rPr>
        <w:t xml:space="preserve">→  </w:t>
      </w:r>
      <w:r>
        <w:rPr>
          <w:rFonts w:ascii="Century Gothic" w:cs="Century Gothic" w:eastAsia="Century Gothic" w:hAnsi="Century Gothic"/>
          <w:b/>
          <w:bCs/>
          <w:color w:val="1A3060"/>
          <w:sz w:val="20"/>
          <w:szCs w:val="20"/>
        </w:rPr>
        <w:t xml:space="preserve">Resultado: </w:t>
      </w:r>
      <w:r>
        <w:rPr>
          <w:rFonts w:ascii="Century Gothic" w:cs="Century Gothic" w:eastAsia="Century Gothic" w:hAnsi="Century Gothic"/>
          <w:color w:val="374151"/>
          <w:sz w:val="20"/>
          <w:szCs w:val="20"/>
        </w:rPr>
        <w:t xml:space="preserve">Tráfico nuevo de personas que aún no buscan un contador, pero pronto lo necesitarán.</w:t>
      </w:r>
    </w:p>
    <w:p>
      <w:pPr>
        <w:spacing w:after="100" w:before="0"/>
      </w:pPr>
    </w:p>
    <w:p>
      <w:pPr>
        <w:spacing w:after="40" w:before="240"/>
      </w:pPr>
      <w:r>
        <w:rPr>
          <w:rFonts w:ascii="Century Gothic" w:cs="Century Gothic" w:eastAsia="Century Gothic" w:hAnsi="Century Gothic"/>
          <w:b/>
          <w:bCs/>
          <w:color w:val="2F73C5"/>
          <w:sz w:val="14"/>
          <w:szCs w:val="14"/>
        </w:rPr>
        <w:t xml:space="preserve">06 — CIUDADES CERCANAS</w:t>
      </w:r>
    </w:p>
    <w:p>
      <w:pPr>
        <w:spacing w:after="70" w:before="0"/>
      </w:pPr>
      <w:r>
        <w:rPr>
          <w:rFonts w:ascii="Century Gothic" w:cs="Century Gothic" w:eastAsia="Century Gothic" w:hAnsi="Century Gothic"/>
          <w:b/>
          <w:bCs/>
          <w:color w:val="1A3060"/>
          <w:sz w:val="25"/>
          <w:szCs w:val="25"/>
        </w:rPr>
        <w:t xml:space="preserve">Presencia en Fort Lauderdale, Miami, Boca Raton y más</w:t>
      </w:r>
    </w:p>
    <w:p>
      <w:pPr>
        <w:spacing w:after="65" w:before="0"/>
      </w:pPr>
      <w:r>
        <w:rPr>
          <w:rFonts w:ascii="Century Gothic" w:cs="Century Gothic" w:eastAsia="Century Gothic" w:hAnsi="Century Gothic"/>
          <w:i w:val="false"/>
          <w:iCs w:val="false"/>
          <w:color w:val="374151"/>
          <w:sz w:val="20"/>
          <w:szCs w:val="20"/>
        </w:rPr>
        <w:t xml:space="preserve">Creamos 5 páginas locales para las principales ciudades del área de servicio. Alguien que busca "contador hispano Miami" o "impuestos Fort Lauderdale" ahora puede encontrar a Hispanic Financial directamente.</w:t>
      </w:r>
    </w:p>
    <w:p>
      <w:pPr>
        <w:spacing w:after="28" w:before="28"/>
        <w:ind w:left="144"/>
      </w:pPr>
      <w:r>
        <w:rPr>
          <w:rFonts w:ascii="Century Gothic" w:cs="Century Gothic" w:eastAsia="Century Gothic" w:hAnsi="Century Gothic"/>
          <w:b/>
          <w:bCs/>
          <w:color w:val="2F73C5"/>
          <w:sz w:val="20"/>
          <w:szCs w:val="20"/>
        </w:rPr>
        <w:t xml:space="preserve">→  </w:t>
      </w:r>
      <w:r>
        <w:rPr>
          <w:rFonts w:ascii="Century Gothic" w:cs="Century Gothic" w:eastAsia="Century Gothic" w:hAnsi="Century Gothic"/>
          <w:b/>
          <w:bCs/>
          <w:color w:val="1A3060"/>
          <w:sz w:val="20"/>
          <w:szCs w:val="20"/>
        </w:rPr>
        <w:t xml:space="preserve">Resultado: </w:t>
      </w:r>
      <w:r>
        <w:rPr>
          <w:rFonts w:ascii="Century Gothic" w:cs="Century Gothic" w:eastAsia="Century Gothic" w:hAnsi="Century Gothic"/>
          <w:color w:val="374151"/>
          <w:sz w:val="20"/>
          <w:szCs w:val="20"/>
        </w:rPr>
        <w:t xml:space="preserve">Cobertura total en South Florida sin necesitar múltiples oficinas.</w:t>
      </w:r>
    </w:p>
    <w:p>
      <w:pPr>
        <w:spacing w:after="100" w:before="0"/>
      </w:pPr>
    </w:p>
    <w:p>
      <w:pPr>
        <w:spacing w:after="40" w:before="240"/>
      </w:pPr>
      <w:r>
        <w:rPr>
          <w:rFonts w:ascii="Century Gothic" w:cs="Century Gothic" w:eastAsia="Century Gothic" w:hAnsi="Century Gothic"/>
          <w:b/>
          <w:bCs/>
          <w:color w:val="2F73C5"/>
          <w:sz w:val="14"/>
          <w:szCs w:val="14"/>
        </w:rPr>
        <w:t xml:space="preserve">07 — CLIENTES INTERNACIONALES</w:t>
      </w:r>
    </w:p>
    <w:p>
      <w:pPr>
        <w:spacing w:after="70" w:before="0"/>
      </w:pPr>
      <w:r>
        <w:rPr>
          <w:rFonts w:ascii="Century Gothic" w:cs="Century Gothic" w:eastAsia="Century Gothic" w:hAnsi="Century Gothic"/>
          <w:b/>
          <w:bCs/>
          <w:color w:val="1A3060"/>
          <w:sz w:val="25"/>
          <w:szCs w:val="25"/>
        </w:rPr>
        <w:t xml:space="preserve">Empresarios de Colombia, México, Argentina y más pueden ser clientes</w:t>
      </w:r>
    </w:p>
    <w:p>
      <w:pPr>
        <w:spacing w:after="65" w:before="0"/>
      </w:pPr>
      <w:r>
        <w:rPr>
          <w:rFonts w:ascii="Century Gothic" w:cs="Century Gothic" w:eastAsia="Century Gothic" w:hAnsi="Century Gothic"/>
          <w:i w:val="false"/>
          <w:iCs w:val="false"/>
          <w:color w:val="374151"/>
          <w:sz w:val="20"/>
          <w:szCs w:val="20"/>
        </w:rPr>
        <w:t xml:space="preserve">Diseñamos una estrategia completa para emprendedores que viven fuera de EE.UU. y quieren abrir una empresa americana. Una página central y 8 páginas por país explican el proceso 100% remoto en su idioma, con WhatsApp como punto de contacto principal.</w:t>
      </w:r>
    </w:p>
    <w:p>
      <w:pPr>
        <w:spacing w:after="28" w:before="28"/>
        <w:ind w:left="144"/>
      </w:pPr>
      <w:r>
        <w:rPr>
          <w:rFonts w:ascii="Century Gothic" w:cs="Century Gothic" w:eastAsia="Century Gothic" w:hAnsi="Century Gothic"/>
          <w:b/>
          <w:bCs/>
          <w:color w:val="2F73C5"/>
          <w:sz w:val="20"/>
          <w:szCs w:val="20"/>
        </w:rPr>
        <w:t xml:space="preserve">→  </w:t>
      </w:r>
      <w:r>
        <w:rPr>
          <w:rFonts w:ascii="Century Gothic" w:cs="Century Gothic" w:eastAsia="Century Gothic" w:hAnsi="Century Gothic"/>
          <w:b/>
          <w:bCs/>
          <w:color w:val="1A3060"/>
          <w:sz w:val="20"/>
          <w:szCs w:val="20"/>
        </w:rPr>
        <w:t xml:space="preserve">Canal nuevo: </w:t>
      </w:r>
      <w:r>
        <w:rPr>
          <w:rFonts w:ascii="Century Gothic" w:cs="Century Gothic" w:eastAsia="Century Gothic" w:hAnsi="Century Gothic"/>
          <w:color w:val="374151"/>
          <w:sz w:val="20"/>
          <w:szCs w:val="20"/>
        </w:rPr>
        <w:t xml:space="preserve">Tráfico desde búsquedas como "crear LLC en USA desde Colombia" — alta demanda, poca competencia.</w:t>
      </w:r>
    </w:p>
    <w:p>
      <w:pPr>
        <w:spacing w:after="180" w:before="0"/>
      </w:pPr>
    </w:p>
    <w:p>
      <w:pPr>
        <w:pBdr>
          <w:bottom w:val="single" w:color="CBD5E1" w:sz="4"/>
        </w:pBdr>
        <w:spacing w:after="140" w:before="0"/>
      </w:pPr>
    </w:p>
    <w:p>
      <w:pPr>
        <w:spacing w:after="40" w:before="240"/>
      </w:pPr>
      <w:r>
        <w:rPr>
          <w:rFonts w:ascii="Century Gothic" w:cs="Century Gothic" w:eastAsia="Century Gothic" w:hAnsi="Century Gothic"/>
          <w:b/>
          <w:bCs/>
          <w:color w:val="2F73C5"/>
          <w:sz w:val="14"/>
          <w:szCs w:val="14"/>
        </w:rPr>
        <w:t xml:space="preserve">PRÓXIMOS PASOS RECOMENDADOS</w:t>
      </w:r>
    </w:p>
    <w:p>
      <w:pPr>
        <w:spacing w:after="70" w:before="0"/>
      </w:pPr>
      <w:r>
        <w:rPr>
          <w:rFonts w:ascii="Century Gothic" w:cs="Century Gothic" w:eastAsia="Century Gothic" w:hAnsi="Century Gothic"/>
          <w:b/>
          <w:bCs/>
          <w:color w:val="1A3060"/>
          <w:sz w:val="25"/>
          <w:szCs w:val="25"/>
        </w:rPr>
        <w:t xml:space="preserve">¿Qué sigue?</w:t>
      </w:r>
    </w:p>
    <w:p>
      <w:pPr>
        <w:spacing w:after="65" w:before="0"/>
      </w:pPr>
      <w:r>
        <w:rPr>
          <w:rFonts w:ascii="Century Gothic" w:cs="Century Gothic" w:eastAsia="Century Gothic" w:hAnsi="Century Gothic"/>
          <w:i w:val="false"/>
          <w:iCs w:val="false"/>
          <w:color w:val="374151"/>
          <w:sz w:val="20"/>
          <w:szCs w:val="20"/>
        </w:rPr>
        <w:t xml:space="preserve">Enviar el sitemap actualizado a Google Search Console para acelerar la indexación de las páginas nuevas, y optimizar el perfil de Google Business Profile para búsquedas locales.</w:t>
      </w:r>
    </w:p>
    <w:p>
      <w:pPr>
        <w:spacing w:after="60" w:before="0"/>
      </w:pPr>
    </w:p>
    <w:p>
      <w:pPr>
        <w:spacing w:after="65" w:before="0"/>
      </w:pPr>
      <w:r>
        <w:rPr>
          <w:rFonts w:ascii="Century Gothic" w:cs="Century Gothic" w:eastAsia="Century Gothic" w:hAnsi="Century Gothic"/>
          <w:i/>
          <w:iCs/>
          <w:color w:val="6B7280"/>
          <w:sz w:val="20"/>
          <w:szCs w:val="20"/>
        </w:rPr>
        <w:t xml:space="preserve">Los primeros resultados visibles en Google suelen aparecer entre 4 y 8 semanas después de la indexación.</w:t>
      </w:r>
    </w:p>
    <w:sectPr>
      <w:footerReference w:type="default" r:id="rId7"/>
      <w:pgSz w:w="12240" w:h="15840" w:orient="portrait"/>
      <w:pgMar w:top="1440" w:right="1584" w:bottom="1584" w:left="158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BD5E1" w:sz="4"/>
      </w:pBdr>
      <w:spacing w:after="0" w:before="100"/>
      <w:jc w:val="center"/>
    </w:pPr>
    <w:r>
      <w:rPr>
        <w:rFonts w:ascii="Century Gothic" w:cs="Century Gothic" w:eastAsia="Century Gothic" w:hAnsi="Century Gothic"/>
        <w:color w:val="6B7280"/>
        <w:sz w:val="16"/>
        <w:szCs w:val="16"/>
      </w:rPr>
      <w:t xml:space="preserve">Andrés Sarria  •  andres.sarria@gmail.com  •  +34 645 911 242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526c95f75e7a1d5a037d5c593b298a027fcdaae3.pn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Resumen de Trabajo — Hispanic Financial</dc:title>
  <dc:creator>Pipe</dc:creator>
  <cp:lastModifiedBy>Un-named</cp:lastModifiedBy>
  <cp:revision>1</cp:revision>
  <dcterms:created xsi:type="dcterms:W3CDTF">2026-07-14T17:31:02.578Z</dcterms:created>
  <dcterms:modified xsi:type="dcterms:W3CDTF">2026-07-14T17:31:02.579Z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