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1E3A8A"/>
          <w:sz w:val="36"/>
        </w:rPr>
        <w:t>Software Effort Estimation Report</w:t>
      </w:r>
    </w:p>
    <w:p>
      <w:pPr>
        <w:spacing w:line="360" w:lineRule="auto" w:after="160"/>
      </w:pPr>
      <w:r>
        <w:rPr>
          <w:rFonts w:ascii="Times New Roman" w:hAnsi="Times New Roman"/>
          <w:b/>
          <w:i w:val="0"/>
          <w:color w:val="000000"/>
          <w:sz w:val="24"/>
        </w:rPr>
        <w:t>Project Title: SoluoPrint - Advanced Print Shop Management System</w:t>
      </w:r>
    </w:p>
    <w:p>
      <w:pPr>
        <w:spacing w:line="360" w:lineRule="auto" w:after="160"/>
      </w:pPr>
      <w:r>
        <w:rPr>
          <w:rFonts w:ascii="Times New Roman" w:hAnsi="Times New Roman"/>
          <w:b/>
          <w:i w:val="0"/>
          <w:color w:val="000000"/>
          <w:sz w:val="24"/>
        </w:rPr>
        <w:t>Author: Peter Borngreat-Mensah (Student Index: 22424679)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Course: CSCD 602 - Advanced Software Engineering, Department of Computer Science, University of Ghana.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1F5F9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i w:val="0"/>
                <w:color w:val="1E3A8A"/>
                <w:sz w:val="22"/>
              </w:rPr>
              <w:t>NOTE: Methodology Justification</w:t>
              <w:br/>
            </w:r>
            <w:r>
              <w:rPr>
                <w:rFonts w:ascii="Times New Roman" w:hAnsi="Times New Roman"/>
                <w:b w:val="0"/>
                <w:i/>
                <w:color w:val="334155"/>
                <w:sz w:val="21"/>
              </w:rPr>
              <w:t>Use Case Points (UCP) estimation was selected over COCOMO II because SoluoPrint is an object-oriented, use-case-driven web application with distinct user actors (Shop Admin, Press Staff, Customer) and discrete database transactions.</w:t>
            </w:r>
          </w:p>
        </w:tc>
      </w:tr>
    </w:tbl>
    <w:p/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1. Unadjusted Use Case Weight (UUCW)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Use Case ID</w:t>
            </w:r>
          </w:p>
        </w:tc>
        <w:tc>
          <w:tcPr>
            <w:tcW w:type="dxa" w:w="1728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Use Case Name</w:t>
            </w:r>
          </w:p>
        </w:tc>
        <w:tc>
          <w:tcPr>
            <w:tcW w:type="dxa" w:w="1728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Complexity Level</w:t>
            </w:r>
          </w:p>
        </w:tc>
        <w:tc>
          <w:tcPr>
            <w:tcW w:type="dxa" w:w="1728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Transactions</w:t>
            </w:r>
          </w:p>
        </w:tc>
        <w:tc>
          <w:tcPr>
            <w:tcW w:type="dxa" w:w="1728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Weight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UC-01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Manage Customer Profiles &amp; Types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Simple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transactions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UC-02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Single Print Job Creation &amp; Pricing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Average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 transactions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UC-03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Bulk Job Creation &amp; Size Presets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Complex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8 transactions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UC-04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Payment Intake &amp; Receivable Clearance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Average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 transactions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UC-05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Expense Logging &amp; Categorization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Simple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 transactions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UC-06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Automated SMSOnlineAPI &amp; Email Alerts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Simple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transactions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UC-07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Financial Analytics &amp; Export Toolbar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Average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 transactions</w:t>
            </w:r>
          </w:p>
        </w:tc>
        <w:tc>
          <w:tcPr>
            <w:tcW w:type="dxa" w:w="1728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UC-08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Customer Portal Intake &amp; Self-Service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Average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6 transactions</w:t>
            </w:r>
          </w:p>
        </w:tc>
        <w:tc>
          <w:tcPr>
            <w:tcW w:type="dxa" w:w="1728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10</w:t>
            </w:r>
          </w:p>
        </w:tc>
      </w:tr>
    </w:tbl>
    <w:p/>
    <w:p>
      <w:pPr>
        <w:spacing w:line="360" w:lineRule="auto" w:after="160"/>
      </w:pPr>
      <w:r>
        <w:rPr>
          <w:rFonts w:ascii="Times New Roman" w:hAnsi="Times New Roman"/>
          <w:b/>
          <w:i w:val="0"/>
          <w:color w:val="000000"/>
          <w:sz w:val="24"/>
        </w:rPr>
        <w:t>Total Unadjusted Use Case Weight (UUCW) = 70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2. Unadjusted Actor Weight (UAW)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Actor Name</w:t>
            </w:r>
          </w:p>
        </w:tc>
        <w:tc>
          <w:tcPr>
            <w:tcW w:type="dxa" w:w="216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Actor Type</w:t>
            </w:r>
          </w:p>
        </w:tc>
        <w:tc>
          <w:tcPr>
            <w:tcW w:type="dxa" w:w="216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216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Weight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Shop Admin / Owner</w:t>
            </w:r>
          </w:p>
        </w:tc>
        <w:tc>
          <w:tcPr>
            <w:tcW w:type="dxa" w:w="216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Complex</w:t>
            </w:r>
          </w:p>
        </w:tc>
        <w:tc>
          <w:tcPr>
            <w:tcW w:type="dxa" w:w="216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Interacts via Rich Graphical Web Dashboard UI</w:t>
            </w:r>
          </w:p>
        </w:tc>
        <w:tc>
          <w:tcPr>
            <w:tcW w:type="dxa" w:w="216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Shop Staff / Press Operator</w:t>
            </w:r>
          </w:p>
        </w:tc>
        <w:tc>
          <w:tcPr>
            <w:tcW w:type="dxa" w:w="216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Complex</w:t>
            </w:r>
          </w:p>
        </w:tc>
        <w:tc>
          <w:tcPr>
            <w:tcW w:type="dxa" w:w="216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Interacts via Production Workflow Web Interface</w:t>
            </w:r>
          </w:p>
        </w:tc>
        <w:tc>
          <w:tcPr>
            <w:tcW w:type="dxa" w:w="216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Customer</w:t>
            </w:r>
          </w:p>
        </w:tc>
        <w:tc>
          <w:tcPr>
            <w:tcW w:type="dxa" w:w="216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Complex</w:t>
            </w:r>
          </w:p>
        </w:tc>
        <w:tc>
          <w:tcPr>
            <w:tcW w:type="dxa" w:w="216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Interacts via Self-Service Customer Web Portal</w:t>
            </w:r>
          </w:p>
        </w:tc>
        <w:tc>
          <w:tcPr>
            <w:tcW w:type="dxa" w:w="216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SMSOnlineAPI Gateway</w:t>
            </w:r>
          </w:p>
        </w:tc>
        <w:tc>
          <w:tcPr>
            <w:tcW w:type="dxa" w:w="216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Simple</w:t>
            </w:r>
          </w:p>
        </w:tc>
        <w:tc>
          <w:tcPr>
            <w:tcW w:type="dxa" w:w="216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Interacts via REST API Callbacks</w:t>
            </w:r>
          </w:p>
        </w:tc>
        <w:tc>
          <w:tcPr>
            <w:tcW w:type="dxa" w:w="216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Namecheap cPanel SMTP</w:t>
            </w:r>
          </w:p>
        </w:tc>
        <w:tc>
          <w:tcPr>
            <w:tcW w:type="dxa" w:w="216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Simple</w:t>
            </w:r>
          </w:p>
        </w:tc>
        <w:tc>
          <w:tcPr>
            <w:tcW w:type="dxa" w:w="216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Interacts via SMTP Protocol</w:t>
            </w:r>
          </w:p>
        </w:tc>
        <w:tc>
          <w:tcPr>
            <w:tcW w:type="dxa" w:w="216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Supabase Auth / Postgres DB</w:t>
            </w:r>
          </w:p>
        </w:tc>
        <w:tc>
          <w:tcPr>
            <w:tcW w:type="dxa" w:w="216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Average</w:t>
            </w:r>
          </w:p>
        </w:tc>
        <w:tc>
          <w:tcPr>
            <w:tcW w:type="dxa" w:w="216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Interacts via Protocol/DB Connection</w:t>
            </w:r>
          </w:p>
        </w:tc>
        <w:tc>
          <w:tcPr>
            <w:tcW w:type="dxa" w:w="216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/>
    <w:p>
      <w:pPr>
        <w:spacing w:line="360" w:lineRule="auto" w:after="160"/>
      </w:pPr>
      <w:r>
        <w:rPr>
          <w:rFonts w:ascii="Times New Roman" w:hAnsi="Times New Roman"/>
          <w:b/>
          <w:i w:val="0"/>
          <w:color w:val="000000"/>
          <w:sz w:val="24"/>
        </w:rPr>
        <w:t>Total Unadjusted Actor Weight (UAW) = 13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Unadjusted Use Case Points (UUCP) = UUCW + UAW = 70 + 13 = 83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3. Technical &amp; Environmental Complexity Factors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Technical Complexity Factor (TCF) = 0.6 + (0.01 * TFactor) = 0.6 + (0.01 * 44) = 1.04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Environmental Complexity Factor (ECF) = 1.4 + (-0.03 * EFactor) = 1.4 + (-0.03 * 16) = 0.92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Adjusted Use Case Points (UCP) = UUCP * TCF * ECF = 83 * 1.04 * 0.92 = 79.41 UCP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4. Man-Hours &amp; Duration Estimation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Using standard industry productivity factor (PF = 20 man-hours per UCP):</w:t>
      </w:r>
    </w:p>
    <w:p>
      <w:pPr>
        <w:spacing w:line="360" w:lineRule="auto" w:after="160"/>
      </w:pPr>
      <w:r>
        <w:rPr>
          <w:rFonts w:ascii="Times New Roman" w:hAnsi="Times New Roman"/>
          <w:b/>
          <w:i w:val="0"/>
          <w:color w:val="000000"/>
          <w:sz w:val="24"/>
        </w:rPr>
        <w:t>• Total Estimated Effort: 79.41 * 20 = 1,588.2 Person-Hours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• Scope Compression for 48-Hour Exam: Accomplished via high-productivity toolchain (Vite, React 18, Supabase BaaS PostgreSQL, Namecheap cPanel PHP microservices).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