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Times New Roman" w:hAnsi="Times New Roman"/>
          <w:b/>
          <w:color w:val="000000"/>
          <w:sz w:val="32"/>
        </w:rPr>
        <w:t>Software Effort Estimation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This section applies the Use Case Points (UCP) technique from Session 6 to estimate the effort for SoluoPrint.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1. Unadjusted Use Case Weight (UUCW)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Use Case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Complexity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Manage Customers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Simple (1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Create Print Job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Average (3-7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Record Payment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Average (3-7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Configure SMS/Email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Simple (1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View Analytics Dashboard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Simple (1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Customer Portal Logins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Average (3-7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</w:tr>
    </w:tbl>
    <w:p/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Total UUCW: 45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2. Unadjusted Actor Weight (UAW)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Actor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Complexity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Shop Admin/Owner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Complex (GUI)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Customer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Complex (GUI Web Portal)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</w:tbl>
    <w:p/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Total UAW: 6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Unadjusted Use Case Points (UUCP) = UUCW + UAW = 51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3. Adjusted Use Case Points (UCP)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Technical Complexity Factor (TCF) estimated at 1.05 (Distributed System, React Web App, Supabase Edge Functions).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Environmental Complexity Factor (ECF) estimated at 0.95 (High capability, React experience).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UCP = UUCP x TCF x ECF = 51 x 1.05 x 0.95 = 50.87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4. Effort Calculation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Using a productivity factor of 20 hours per UCP: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Total Estimated Effort = 50.87 x 20 = 1017 man-hours.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