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Times New Roman" w:hAnsi="Times New Roman"/>
          <w:b/>
          <w:color w:val="000000"/>
          <w:sz w:val="32"/>
        </w:rPr>
        <w:t>Technical Debt Register &amp; Repayment Plan</w:t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1. Debt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Debt 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Cause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TD1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Insecure Auth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Manual profile query for passwords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High Security Risk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Critical (Fixed by Supabase Auth)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TD2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Missing Automated E2E Tests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48-hour Time constraints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Regression risks during updates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TD3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Oversized Components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DashboardPage.jsx is too large (&gt;400 lines)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Hard to maintain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TD4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Tightly Coupled Payment API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Payment Integrations (Hubtel/Paystack) are hardcoded into components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Limited extensibility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sz w:val="24"/>
              </w:rPr>
              <w:t>Medium</w:t>
            </w:r>
          </w:p>
        </w:tc>
      </w:tr>
    </w:tbl>
    <w:p/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2. Repayment Plan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Phase 1 (Immediate): TD1 (Auth) fixed by migrating Admin to Supabase auth properly.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Phase 2 (Short Term): Address TD4 by creating a global generic PaymentGatewayService.js.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Phase 3 (Medium Term): Address TD3 by refactoring DashboardPage.jsx into smaller sub-components (RevenueChart, RecentJobs).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Phase 4 (Long Term): Implement Jest/Playwright for TD2.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