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Times New Roman" w:hAnsi="Times New Roman"/>
          <w:b/>
          <w:color w:val="000000"/>
          <w:sz w:val="32"/>
        </w:rPr>
        <w:t>User Manual &amp; UI Visual Evidence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This user manual comprehensively covers all SoluoPrint functionalities developed and evidenced during this examination.</w:t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Admin Authentication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Admins log in using their email and password. Authentication is secured by Supabase Auth.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Admin Dashboard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The central analytics hub showing Total Revenue, Total Debt, Job Status distributions, and Recent Transactions.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Customer Directory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Manage clients, view balances, edit customer details, and track SMS preference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Print Jobs Management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Track job production states (Pending, In Progress, Completed, Delivered). Admins can update statuses and generate invoices.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Payment Records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Track all transactions, filter by cash, MoMo, Visa, or Bank Transfer, and monitor outstanding receivables.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Settings &amp; Configurations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Configure company details, services, and categories.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Payment Integrations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Configure Hubtel, Paystack, and Flutterwave API keys to accept digital payments from customers.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240"/>
      </w:pPr>
      <w:r>
        <w:rPr>
          <w:rFonts w:ascii="Times New Roman" w:hAnsi="Times New Roman"/>
          <w:b/>
          <w:color w:val="000000"/>
          <w:sz w:val="28"/>
        </w:rPr>
        <w:t>Customer Portal</w:t>
      </w:r>
    </w:p>
    <w:p>
      <w:pPr>
        <w:spacing w:line="360" w:lineRule="auto" w:after="240"/>
      </w:pPr>
      <w:r>
        <w:rPr>
          <w:rFonts w:ascii="Times New Roman" w:hAnsi="Times New Roman"/>
          <w:b w:val="0"/>
          <w:sz w:val="24"/>
        </w:rPr>
        <w:t>Customers can log in with a custom username (e.g., CUST-9999) to view their job history, pay outstanding balances via gateways, and upload new print jobs directly.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