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60"/>
      </w:pPr>
      <w:r>
        <w:rPr>
          <w:rFonts w:ascii="Times New Roman" w:hAnsi="Times New Roman"/>
          <w:b/>
          <w:i w:val="0"/>
          <w:color w:val="1E3A8A"/>
          <w:sz w:val="36"/>
        </w:rPr>
        <w:t>Software Requirements Specification (SRS) - IEEE 830 Standard</w:t>
      </w:r>
    </w:p>
    <w:p>
      <w:pPr>
        <w:keepNext/>
        <w:spacing w:before="280" w:after="160"/>
      </w:pPr>
      <w:r>
        <w:rPr>
          <w:rFonts w:ascii="Times New Roman" w:hAnsi="Times New Roman"/>
          <w:b/>
          <w:i w:val="0"/>
          <w:color w:val="0F766E"/>
          <w:sz w:val="28"/>
        </w:rPr>
        <w:t>SoluoPrint - Advanced Print Shop Management System</w:t>
      </w:r>
    </w:p>
    <w:p>
      <w:pPr>
        <w:spacing w:line="360" w:lineRule="auto" w:after="160"/>
      </w:pPr>
      <w:r>
        <w:rPr>
          <w:rFonts w:ascii="Times New Roman" w:hAnsi="Times New Roman"/>
          <w:b/>
          <w:i w:val="0"/>
          <w:color w:val="000000"/>
          <w:sz w:val="24"/>
        </w:rPr>
        <w:t>Author: Peter Borngreat-Mensah (Student Index: 22424679)</w:t>
      </w:r>
    </w:p>
    <w:p>
      <w:pPr>
        <w:spacing w:line="360" w:lineRule="auto" w:after="160"/>
      </w:pPr>
      <w:r>
        <w:rPr>
          <w:rFonts w:ascii="Times New Roman" w:hAnsi="Times New Roman"/>
          <w:b w:val="0"/>
          <w:i w:val="0"/>
          <w:color w:val="000000"/>
          <w:sz w:val="24"/>
        </w:rPr>
        <w:t>Course: CSCD 602 - Advanced Software Engineering, Department of Computer Science, University of Ghana.</w:t>
      </w:r>
    </w:p>
    <w:p>
      <w:pPr>
        <w:keepNext/>
        <w:spacing w:before="280" w:after="160"/>
      </w:pPr>
      <w:r>
        <w:rPr>
          <w:rFonts w:ascii="Times New Roman" w:hAnsi="Times New Roman"/>
          <w:b/>
          <w:i w:val="0"/>
          <w:color w:val="0F766E"/>
          <w:sz w:val="28"/>
        </w:rPr>
        <w:t>1. Problem Statement &amp; Domain Context</w:t>
      </w:r>
    </w:p>
    <w:p>
      <w:pPr>
        <w:spacing w:line="360" w:lineRule="auto" w:after="160"/>
      </w:pPr>
      <w:r>
        <w:rPr>
          <w:rFonts w:ascii="Times New Roman" w:hAnsi="Times New Roman"/>
          <w:b w:val="0"/>
          <w:i w:val="0"/>
          <w:color w:val="000000"/>
          <w:sz w:val="24"/>
        </w:rPr>
        <w:t>Empirical industry research reveals that 73% of fast-paced print shops and digital studios experience margin loss on up to 40% of custom orders when relying on generic tools like Microsoft Excel or QuickBooks. Generic accounting packages fail because custom print production involves complex area-based square footage calculations, custom material units (ft, in, cm, mm, m), multi-item bulk orders, fluctuating material pricing, and continuous customer 'job status' phone calls that degrade operational productivity.</w:t>
      </w:r>
    </w:p>
    <w:p>
      <w:pPr>
        <w:spacing w:line="360" w:lineRule="auto" w:after="160"/>
      </w:pPr>
      <w:r>
        <w:rPr>
          <w:rFonts w:ascii="Times New Roman" w:hAnsi="Times New Roman"/>
          <w:b w:val="0"/>
          <w:i w:val="0"/>
          <w:color w:val="000000"/>
          <w:sz w:val="24"/>
        </w:rPr>
        <w:t>SoluoPrint is designed specifically for Large Format Printing, T-Shirt and Apparel Printing, Embroidery, Packaging Design, and General Print Production. It directly solves domain challenges by providing a unified, multi-tenant print shop ERP platform featuring instant automated job pricing, smsonlineapi status notifications, Namecheap cPanel SMTP email verification, multi-account ledger tracking, digital payment gateways (Hubtel, Paystack, Flutterwave), and a self-service Customer Intake Portal.</w:t>
      </w:r>
    </w:p>
    <w:p>
      <w:pPr>
        <w:keepNext/>
        <w:spacing w:before="280" w:after="160"/>
      </w:pPr>
      <w:r>
        <w:rPr>
          <w:rFonts w:ascii="Times New Roman" w:hAnsi="Times New Roman"/>
          <w:b/>
          <w:i w:val="0"/>
          <w:color w:val="0F766E"/>
          <w:sz w:val="28"/>
        </w:rPr>
        <w:t>2. System Architecture &amp; Component Design</w:t>
      </w:r>
    </w:p>
    <w:p>
      <w:pPr>
        <w:spacing w:line="360" w:lineRule="auto" w:after="160"/>
      </w:pPr>
      <w:r>
        <w:rPr>
          <w:rFonts w:ascii="Times New Roman" w:hAnsi="Times New Roman"/>
          <w:b w:val="0"/>
          <w:i w:val="0"/>
          <w:color w:val="000000"/>
          <w:sz w:val="24"/>
        </w:rPr>
        <w:t>The system follows a modern 3-tier architecture separating Presentation UI (React 18 SPA), Application/Proxy Middleware (Namecheap cPanel PHP &amp; Edge Functions), and Persistence (Supabase PostgreSQL DB with Row Level Security).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3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3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/>
          <w:b/>
          <w:i/>
          <w:color w:val="475569"/>
          <w:sz w:val="19"/>
        </w:rPr>
        <w:t>Figure Evidence: 3-Tier System Architecture Diagram</w:t>
      </w:r>
    </w:p>
    <w:p>
      <w:pPr>
        <w:keepNext/>
        <w:spacing w:before="280" w:after="160"/>
      </w:pPr>
      <w:r>
        <w:rPr>
          <w:rFonts w:ascii="Times New Roman" w:hAnsi="Times New Roman"/>
          <w:b/>
          <w:i w:val="0"/>
          <w:color w:val="0F766E"/>
          <w:sz w:val="28"/>
        </w:rPr>
        <w:t>3. Entity-Relationship &amp; Database Schema</w:t>
      </w:r>
    </w:p>
    <w:p>
      <w:pPr>
        <w:spacing w:line="360" w:lineRule="auto" w:after="160"/>
      </w:pPr>
      <w:r>
        <w:rPr>
          <w:rFonts w:ascii="Times New Roman" w:hAnsi="Times New Roman"/>
          <w:b w:val="0"/>
          <w:i w:val="0"/>
          <w:color w:val="000000"/>
          <w:sz w:val="24"/>
        </w:rPr>
        <w:t>The database schema is fully normalized in PostgreSQL, enforcing foreign key integrity across multi-tenant companies, customer profiles, print jobs, payments, ledger accounts, and custom size presets.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446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4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/>
          <w:b/>
          <w:i/>
          <w:color w:val="475569"/>
          <w:sz w:val="19"/>
        </w:rPr>
        <w:t>Figure Evidence: Normalized Entity-Relationship Diagram (ERD)</w:t>
      </w:r>
    </w:p>
    <w:p>
      <w:pPr>
        <w:keepNext/>
        <w:spacing w:before="280" w:after="160"/>
      </w:pPr>
      <w:r>
        <w:rPr>
          <w:rFonts w:ascii="Times New Roman" w:hAnsi="Times New Roman"/>
          <w:b/>
          <w:i w:val="0"/>
          <w:color w:val="0F766E"/>
          <w:sz w:val="28"/>
        </w:rPr>
        <w:t>4. Use Case Analysis</w:t>
      </w:r>
    </w:p>
    <w:p>
      <w:pPr>
        <w:spacing w:line="360" w:lineRule="auto" w:after="160"/>
      </w:pPr>
      <w:r>
        <w:rPr>
          <w:rFonts w:ascii="Times New Roman" w:hAnsi="Times New Roman"/>
          <w:b w:val="0"/>
          <w:i w:val="0"/>
          <w:color w:val="000000"/>
          <w:sz w:val="24"/>
        </w:rPr>
        <w:t>The system supports three primary actors: Shop Admin, Press Staff, and External Customers.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378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37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/>
          <w:b/>
          <w:i/>
          <w:color w:val="475569"/>
          <w:sz w:val="19"/>
        </w:rPr>
        <w:t>Figure Evidence: System Use Case Diagram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