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60"/>
      </w:pPr>
      <w:r>
        <w:rPr>
          <w:rFonts w:ascii="Times New Roman" w:hAnsi="Times New Roman"/>
          <w:b/>
          <w:i w:val="0"/>
          <w:color w:val="1E3A8A"/>
          <w:sz w:val="36"/>
        </w:rPr>
        <w:t>Technical Debt Register &amp; Phased Repayment Plan</w:t>
      </w:r>
    </w:p>
    <w:p>
      <w:pPr>
        <w:spacing w:line="360" w:lineRule="auto" w:after="160"/>
      </w:pPr>
      <w:r>
        <w:rPr>
          <w:rFonts w:ascii="Times New Roman" w:hAnsi="Times New Roman"/>
          <w:b/>
          <w:i w:val="0"/>
          <w:color w:val="000000"/>
          <w:sz w:val="24"/>
        </w:rPr>
        <w:t>Project Title: SoluoPrint - Advanced Print Shop Management System</w:t>
      </w:r>
    </w:p>
    <w:p>
      <w:pPr>
        <w:spacing w:line="360" w:lineRule="auto" w:after="160"/>
      </w:pPr>
      <w:r>
        <w:rPr>
          <w:rFonts w:ascii="Times New Roman" w:hAnsi="Times New Roman"/>
          <w:b/>
          <w:i w:val="0"/>
          <w:color w:val="000000"/>
          <w:sz w:val="24"/>
        </w:rPr>
        <w:t>Author: Peter Borngreat-Mensah (Student Index: 22424679)</w:t>
      </w:r>
    </w:p>
    <w:p>
      <w:pPr>
        <w:spacing w:line="360" w:lineRule="auto" w:after="160"/>
      </w:pPr>
      <w:r>
        <w:rPr>
          <w:rFonts w:ascii="Times New Roman" w:hAnsi="Times New Roman"/>
          <w:b w:val="0"/>
          <w:i w:val="0"/>
          <w:color w:val="000000"/>
          <w:sz w:val="24"/>
        </w:rPr>
        <w:t>Course: CSCD 602 - Advanced Software Engineering, Department of Computer Science, University of Ghana.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1F5F9"/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line="312" w:lineRule="auto" w:after="80"/>
            </w:pPr>
            <w:r>
              <w:rPr>
                <w:rFonts w:ascii="Times New Roman" w:hAnsi="Times New Roman"/>
                <w:b/>
                <w:i w:val="0"/>
                <w:color w:val="1E3A8A"/>
                <w:sz w:val="22"/>
              </w:rPr>
              <w:t>NOTE: Technical Debt Philosophy</w:t>
              <w:br/>
            </w:r>
            <w:r>
              <w:rPr>
                <w:rFonts w:ascii="Times New Roman" w:hAnsi="Times New Roman"/>
                <w:b w:val="0"/>
                <w:i/>
                <w:color w:val="334155"/>
                <w:sz w:val="21"/>
              </w:rPr>
              <w:t>In a 48-hour development timeframe, strategic technical debt is deliberately incurred to prioritize core commercial requirements. All debt items are cataloged, prioritized, and assigned a remediation roadmap.</w:t>
            </w:r>
          </w:p>
        </w:tc>
      </w:tr>
    </w:tbl>
    <w:p/>
    <w:p>
      <w:pPr>
        <w:keepNext/>
        <w:spacing w:before="280" w:after="160"/>
      </w:pPr>
      <w:r>
        <w:rPr>
          <w:rFonts w:ascii="Times New Roman" w:hAnsi="Times New Roman"/>
          <w:b/>
          <w:i w:val="0"/>
          <w:color w:val="0F766E"/>
          <w:sz w:val="28"/>
        </w:rPr>
        <w:t>1. Technical Debt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Debt ID</w:t>
            </w:r>
          </w:p>
        </w:tc>
        <w:tc>
          <w:tcPr>
            <w:tcW w:type="dxa" w:w="144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Technical Debt Item</w:t>
            </w:r>
          </w:p>
        </w:tc>
        <w:tc>
          <w:tcPr>
            <w:tcW w:type="dxa" w:w="144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Root Cause Analysis</w:t>
            </w:r>
          </w:p>
        </w:tc>
        <w:tc>
          <w:tcPr>
            <w:tcW w:type="dxa" w:w="144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Architectural Impact</w:t>
            </w:r>
          </w:p>
        </w:tc>
        <w:tc>
          <w:tcPr>
            <w:tcW w:type="dxa" w:w="144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Priority Rating</w:t>
            </w:r>
          </w:p>
        </w:tc>
        <w:tc>
          <w:tcPr>
            <w:tcW w:type="dxa" w:w="1440"/>
            <w:shd w:fill="1E3A8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1"/>
              </w:rPr>
              <w:t>Resolution Status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TD-01</w:t>
            </w:r>
          </w:p>
        </w:tc>
        <w:tc>
          <w:tcPr>
            <w:tcW w:type="dxa" w:w="1440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Manual Password Hashing in Prototype Auth</w:t>
            </w:r>
          </w:p>
        </w:tc>
        <w:tc>
          <w:tcPr>
            <w:tcW w:type="dxa" w:w="1440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Rapid prototyping shortcut</w:t>
            </w:r>
          </w:p>
        </w:tc>
        <w:tc>
          <w:tcPr>
            <w:tcW w:type="dxa" w:w="1440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High Security Risk</w:t>
            </w:r>
          </w:p>
        </w:tc>
        <w:tc>
          <w:tcPr>
            <w:tcW w:type="dxa" w:w="1440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CRITICAL</w:t>
            </w:r>
          </w:p>
        </w:tc>
        <w:tc>
          <w:tcPr>
            <w:tcW w:type="dxa" w:w="1440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RESOLVED (Migrated to Supabase Auth RLS)</w:t>
            </w:r>
          </w:p>
        </w:tc>
      </w:tr>
      <w:tr>
        <w:tc>
          <w:tcPr>
            <w:tcW w:type="dxa" w:w="1440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TD-02</w:t>
            </w:r>
          </w:p>
        </w:tc>
        <w:tc>
          <w:tcPr>
            <w:tcW w:type="dxa" w:w="1440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Lack of Automated Cypress E2E Tests</w:t>
            </w:r>
          </w:p>
        </w:tc>
        <w:tc>
          <w:tcPr>
            <w:tcW w:type="dxa" w:w="1440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48-Hour Exam Time Constraint</w:t>
            </w:r>
          </w:p>
        </w:tc>
        <w:tc>
          <w:tcPr>
            <w:tcW w:type="dxa" w:w="1440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Regression risk on future updates</w:t>
            </w:r>
          </w:p>
        </w:tc>
        <w:tc>
          <w:tcPr>
            <w:tcW w:type="dxa" w:w="1440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440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Scheduled for Release v1.1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TD-03</w:t>
            </w:r>
          </w:p>
        </w:tc>
        <w:tc>
          <w:tcPr>
            <w:tcW w:type="dxa" w:w="1440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Monolithic Dashboard Component</w:t>
            </w:r>
          </w:p>
        </w:tc>
        <w:tc>
          <w:tcPr>
            <w:tcW w:type="dxa" w:w="1440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Speed of initial UI assembly</w:t>
            </w:r>
          </w:p>
        </w:tc>
        <w:tc>
          <w:tcPr>
            <w:tcW w:type="dxa" w:w="1440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Decreased code maintainability</w:t>
            </w:r>
          </w:p>
        </w:tc>
        <w:tc>
          <w:tcPr>
            <w:tcW w:type="dxa" w:w="1440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440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Scheduled for Release v1.1</w:t>
            </w:r>
          </w:p>
        </w:tc>
      </w:tr>
      <w:tr>
        <w:tc>
          <w:tcPr>
            <w:tcW w:type="dxa" w:w="1440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TD-04</w:t>
            </w:r>
          </w:p>
        </w:tc>
        <w:tc>
          <w:tcPr>
            <w:tcW w:type="dxa" w:w="1440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Hardcoded API Gateway Secrets</w:t>
            </w:r>
          </w:p>
        </w:tc>
        <w:tc>
          <w:tcPr>
            <w:tcW w:type="dxa" w:w="1440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Quick API verification during exam</w:t>
            </w:r>
          </w:p>
        </w:tc>
        <w:tc>
          <w:tcPr>
            <w:tcW w:type="dxa" w:w="1440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Security risk in repository</w:t>
            </w:r>
          </w:p>
        </w:tc>
        <w:tc>
          <w:tcPr>
            <w:tcW w:type="dxa" w:w="1440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1440"/>
            <w:shd w:fill="F8FAFC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RESOLVED (Extracted to cPanel &amp; .env)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TD-05</w:t>
            </w:r>
          </w:p>
        </w:tc>
        <w:tc>
          <w:tcPr>
            <w:tcW w:type="dxa" w:w="1440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Client-Side Financial Aggregations</w:t>
            </w:r>
          </w:p>
        </w:tc>
        <w:tc>
          <w:tcPr>
            <w:tcW w:type="dxa" w:w="1440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Reduced backend RPC function overhead</w:t>
            </w:r>
          </w:p>
        </w:tc>
        <w:tc>
          <w:tcPr>
            <w:tcW w:type="dxa" w:w="1440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Increased memory footprint for large datasets</w:t>
            </w:r>
          </w:p>
        </w:tc>
        <w:tc>
          <w:tcPr>
            <w:tcW w:type="dxa" w:w="1440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1440"/>
            <w:shd w:fill="FFFFFF"/>
          </w:tcPr>
          <w:p>
            <w:pPr>
              <w:spacing w:line="288" w:lineRule="auto"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Scheduled for Release v2.0</w:t>
            </w:r>
          </w:p>
        </w:tc>
      </w:tr>
    </w:tbl>
    <w:p/>
    <w:p>
      <w:pPr>
        <w:keepNext/>
        <w:spacing w:before="280" w:after="160"/>
      </w:pPr>
      <w:r>
        <w:rPr>
          <w:rFonts w:ascii="Times New Roman" w:hAnsi="Times New Roman"/>
          <w:b/>
          <w:i w:val="0"/>
          <w:color w:val="0F766E"/>
          <w:sz w:val="28"/>
        </w:rPr>
        <w:t>2. Phased Technical Debt Repayment Roadmap</w:t>
      </w:r>
    </w:p>
    <w:p>
      <w:pPr>
        <w:spacing w:line="360" w:lineRule="auto" w:after="160"/>
      </w:pPr>
      <w:r>
        <w:rPr>
          <w:rFonts w:ascii="Times New Roman" w:hAnsi="Times New Roman"/>
          <w:b/>
          <w:i w:val="0"/>
          <w:color w:val="000000"/>
          <w:sz w:val="24"/>
        </w:rPr>
        <w:t>• Phase 1 (Immediate - Resolved): Fixed TD-01 and TD-04 by enforcing Supabase Auth Row Level Security (RLS) policies and extracting API credentials into environment variables on Namecheap cPanel.</w:t>
      </w:r>
    </w:p>
    <w:p>
      <w:pPr>
        <w:spacing w:line="360" w:lineRule="auto" w:after="160"/>
      </w:pPr>
      <w:r>
        <w:rPr>
          <w:rFonts w:ascii="Times New Roman" w:hAnsi="Times New Roman"/>
          <w:b w:val="0"/>
          <w:i w:val="0"/>
          <w:color w:val="000000"/>
          <w:sz w:val="24"/>
        </w:rPr>
        <w:t>• Phase 2 (Short-Term - Release v1.1): Implement Playwright E2E automated test suite (TD-02) and refactor DashboardPage.jsx into modular widgets (TD-03).</w:t>
      </w:r>
    </w:p>
    <w:p>
      <w:pPr>
        <w:spacing w:line="360" w:lineRule="auto" w:after="160"/>
      </w:pPr>
      <w:r>
        <w:rPr>
          <w:rFonts w:ascii="Times New Roman" w:hAnsi="Times New Roman"/>
          <w:b w:val="0"/>
          <w:i w:val="0"/>
          <w:color w:val="000000"/>
          <w:sz w:val="24"/>
        </w:rPr>
        <w:t>• Phase 3 (Medium-Term - Release v2.0): Migrate heavy financial report math from client JavaScript to Supabase PostgreSQL RPC stored procedures (TD-05).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