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1E3A8A"/>
          <w:sz w:val="36"/>
        </w:rPr>
        <w:t>Software Effort Estimation Report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Project Title: SoluoPrint - Advanced Print Shop Management System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Author: Peter Borngreat-Mensah (Student Index: 22424679)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Course: CSCD 602 - Advanced Software Engineering, Department of Computer Science, University of Ghana.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Borders>
              <w:top w:val="none"/>
              <w:left w:val="single" w:sz="24" w:space="0" w:color="1E3A8A"/>
              <w:bottom w:val="none"/>
              <w:right w:val="none"/>
            </w:tcBorders>
          </w:tcPr>
          <w:p>
            <w:pPr>
              <w:spacing w:line="312" w:lineRule="auto" w:after="80"/>
            </w:pPr>
            <w:r>
              <w:rPr>
                <w:rFonts w:ascii="Times New Roman" w:hAnsi="Times New Roman"/>
                <w:b/>
                <w:i w:val="0"/>
                <w:color w:val="1E3A8A"/>
                <w:sz w:val="22"/>
              </w:rPr>
              <w:t>NOTE: Methodology Justification</w:t>
              <w:br/>
            </w:r>
            <w:r>
              <w:rPr>
                <w:rFonts w:ascii="Times New Roman" w:hAnsi="Times New Roman"/>
                <w:b w:val="0"/>
                <w:i/>
                <w:color w:val="334155"/>
                <w:sz w:val="21"/>
              </w:rPr>
              <w:t>Use Case Points (UCP) estimation was selected over COCOMO II because SoluoPrint is an object-oriented, use-case-driven web application with distinct user actors (Shop Admin, Press Staff, Customer) and discrete database transactions.</w:t>
            </w:r>
          </w:p>
        </w:tc>
      </w:tr>
    </w:tbl>
    <w:p/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1. Unadjusted Use Case Weight (UUCW)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Use Case ID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Use Case Name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Complexity Level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Transactions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Weight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UC-01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Manage Customer Profiles &amp; Types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UC-02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Single Print Job Creation &amp; Pricing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UC-03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Bulk Job Creation &amp; Size Presets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8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15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UC-04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Payment Intake &amp; Receivable Clearance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UC-05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Expense Logging &amp; Categorization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UC-06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Automated SMSOnlineAPI &amp; Email Alerts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UC-07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Financial Analytics &amp; Export Toolbar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UC-08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Portal Intake &amp; Self-Service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6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</w:tbl>
    <w:p/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Total Unadjusted Use Case Weight (UUCW) = 70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2. Unadjusted Actor Weight (UAW)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Actor Name</w:t>
            </w:r>
          </w:p>
        </w:tc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Actor Type</w:t>
            </w:r>
          </w:p>
        </w:tc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Description</w:t>
            </w:r>
          </w:p>
        </w:tc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Weight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Shop Admin / Owner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Rich Graphical Web Dashboard UI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Shop Staff / Press Operator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Production Workflow Web Interface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Self-Service Customer Web Portal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SMSOnlineAPI Gateway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REST API Callbacks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Namecheap cPanel SMTP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SMTP Protocol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Supabase Auth / Postgres DB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Protocol/DB Connection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</w:t>
            </w:r>
          </w:p>
        </w:tc>
      </w:tr>
    </w:tbl>
    <w:p/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Total Unadjusted Actor Weight (UAW) = 13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Unadjusted Use Case Points (UUCP) = UUCW + UAW = 70 + 13 = 83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3. Technical &amp; Environmental Complexity Factors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Technical Complexity Factor (TCF) = 0.6 + (0.01 * TFactor) = 0.6 + (0.01 * 44) = 1.04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Environmental Complexity Factor (ECF) = 1.4 + (-0.03 * EFactor) = 1.4 + (-0.03 * 16) = 0.92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Adjusted Use Case Points (UCP) = UUCP * TCF * ECF = 83 * 1.04 * 0.92 = 79.41 UCP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4. Man-Hours &amp; Duration Estimation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Using standard industry productivity factor (PF = 20 man-hours per UCP):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• Total Estimated Effort: 79.41 * 20 = 1,588.2 Person-Hours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• Scope Compression for 48-Hour Exam: Accomplished via high-productivity toolchain (Vite, React 18, Supabase BaaS PostgreSQL, Namecheap cPanel PHP microservices).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