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60"/>
      </w:pPr>
      <w:r>
        <w:rPr>
          <w:rFonts w:ascii="Times New Roman" w:hAnsi="Times New Roman"/>
          <w:b/>
          <w:i w:val="0"/>
          <w:color w:val="1E3A8A"/>
          <w:sz w:val="36"/>
        </w:rPr>
        <w:t>Software Requirements Specification (SRS) - IEEE 830 Standard</w:t>
      </w:r>
    </w:p>
    <w:p>
      <w:pPr>
        <w:keepNext/>
        <w:spacing w:before="280" w:after="160"/>
      </w:pPr>
      <w:r>
        <w:rPr>
          <w:rFonts w:ascii="Times New Roman" w:hAnsi="Times New Roman"/>
          <w:b/>
          <w:i w:val="0"/>
          <w:color w:val="0F766E"/>
          <w:sz w:val="28"/>
        </w:rPr>
        <w:t>SoluoPrint - Premium All-in-One Print Shop Management (Print/Job management, CRM, Financial Management &amp; Analytics Platform, Automated SMS Notifications)</w:t>
      </w:r>
    </w:p>
    <w:p>
      <w:pPr>
        <w:spacing w:line="360" w:lineRule="auto" w:after="160"/>
      </w:pPr>
      <w:r>
        <w:rPr>
          <w:rFonts w:ascii="Times New Roman" w:hAnsi="Times New Roman"/>
          <w:b/>
          <w:i w:val="0"/>
          <w:color w:val="000000"/>
          <w:sz w:val="24"/>
        </w:rPr>
        <w:t>Author: Peter Borngreat-Mensah (Student Index: 22424679)</w:t>
      </w:r>
    </w:p>
    <w:p>
      <w:pPr>
        <w:spacing w:line="360" w:lineRule="auto" w:after="160"/>
      </w:pPr>
      <w:r>
        <w:rPr>
          <w:rFonts w:ascii="Times New Roman" w:hAnsi="Times New Roman"/>
          <w:b w:val="0"/>
          <w:i w:val="0"/>
          <w:color w:val="000000"/>
          <w:sz w:val="24"/>
        </w:rPr>
        <w:t>Course: CSCD 602 - Advanced Software Engineering, Department of Computer Science, University of Ghana.</w:t>
      </w:r>
    </w:p>
    <w:p>
      <w:pPr>
        <w:keepNext/>
        <w:spacing w:before="280" w:after="160"/>
      </w:pPr>
      <w:r>
        <w:rPr>
          <w:rFonts w:ascii="Times New Roman" w:hAnsi="Times New Roman"/>
          <w:b/>
          <w:i w:val="0"/>
          <w:color w:val="0F766E"/>
          <w:sz w:val="28"/>
        </w:rPr>
        <w:t>1. Introduction</w:t>
      </w:r>
    </w:p>
    <w:p>
      <w:pPr>
        <w:keepNext/>
        <w:spacing w:before="280" w:after="160"/>
      </w:pPr>
      <w:r>
        <w:rPr>
          <w:rFonts w:ascii="Times New Roman" w:hAnsi="Times New Roman"/>
          <w:b/>
          <w:i/>
          <w:color w:val="334155"/>
          <w:sz w:val="24"/>
        </w:rPr>
        <w:t>1.1 Purpose</w:t>
      </w:r>
    </w:p>
    <w:p>
      <w:pPr>
        <w:spacing w:line="360" w:lineRule="auto" w:after="160"/>
      </w:pPr>
      <w:r>
        <w:rPr>
          <w:rFonts w:ascii="Times New Roman" w:hAnsi="Times New Roman"/>
          <w:b w:val="0"/>
          <w:i w:val="0"/>
          <w:color w:val="000000"/>
          <w:sz w:val="24"/>
        </w:rPr>
        <w:t>This document specifies the software requirements for the SoluoPrint platform. SoluoPrint is a web-based, multi-tenant print shop ERP engineered to automate pricing calculations, production tracking, customer relations management (CRM), and financial accounting for specialized digital studios.</w:t>
      </w:r>
    </w:p>
    <w:p>
      <w:pPr>
        <w:keepNext/>
        <w:spacing w:before="280" w:after="160"/>
      </w:pPr>
      <w:r>
        <w:rPr>
          <w:rFonts w:ascii="Times New Roman" w:hAnsi="Times New Roman"/>
          <w:b/>
          <w:i/>
          <w:color w:val="334155"/>
          <w:sz w:val="24"/>
        </w:rPr>
        <w:t>1.2 Scope</w:t>
      </w:r>
    </w:p>
    <w:p>
      <w:pPr>
        <w:spacing w:line="360" w:lineRule="auto" w:after="160"/>
      </w:pPr>
      <w:r>
        <w:rPr>
          <w:rFonts w:ascii="Times New Roman" w:hAnsi="Times New Roman"/>
          <w:b w:val="0"/>
          <w:i w:val="0"/>
          <w:color w:val="000000"/>
          <w:sz w:val="24"/>
        </w:rPr>
        <w:t>The system scope covers single and bulk job creation, custom dimension calculators (supporting feet, inches, cm, mm, and meters), real-time production status tracking, a self-service customer intake portal, email and SMS notification engines (smsonlineapi / SMTP), and integrations with digital payment gateways (Hubtel, Paystack, Flutterwave).</w:t>
      </w:r>
    </w:p>
    <w:p>
      <w:pPr>
        <w:keepNext/>
        <w:spacing w:before="280" w:after="160"/>
      </w:pPr>
      <w:r>
        <w:rPr>
          <w:rFonts w:ascii="Times New Roman" w:hAnsi="Times New Roman"/>
          <w:b/>
          <w:i/>
          <w:color w:val="334155"/>
          <w:sz w:val="24"/>
        </w:rPr>
        <w:t>1.3 Definitions, Acronyms, and Abbreviations</w:t>
      </w:r>
    </w:p>
    <w:p>
      <w:pPr>
        <w:spacing w:line="360" w:lineRule="auto" w:after="160"/>
      </w:pPr>
      <w:r>
        <w:rPr>
          <w:rFonts w:ascii="Times New Roman" w:hAnsi="Times New Roman"/>
          <w:b w:val="0"/>
          <w:i w:val="0"/>
          <w:color w:val="000000"/>
          <w:sz w:val="24"/>
        </w:rPr>
        <w:t>• ERP: Enterprise Resource Planning.</w:t>
        <w:br/>
        <w:t>• MoMo: Mobile Money.</w:t>
        <w:br/>
        <w:t>• RLS: Row Level Security.</w:t>
        <w:br/>
        <w:t>• SRS: Software Requirements Specification.</w:t>
        <w:br/>
        <w:t>• SMSGH: Telephony messaging protocol.</w:t>
      </w:r>
    </w:p>
    <w:p>
      <w:pPr>
        <w:keepNext/>
        <w:spacing w:before="280" w:after="160"/>
      </w:pPr>
      <w:r>
        <w:rPr>
          <w:rFonts w:ascii="Times New Roman" w:hAnsi="Times New Roman"/>
          <w:b/>
          <w:i/>
          <w:color w:val="334155"/>
          <w:sz w:val="24"/>
        </w:rPr>
        <w:t>1.4 References</w:t>
      </w:r>
    </w:p>
    <w:p>
      <w:pPr>
        <w:spacing w:line="360" w:lineRule="auto" w:after="160"/>
      </w:pPr>
      <w:r>
        <w:rPr>
          <w:rFonts w:ascii="Times New Roman" w:hAnsi="Times New Roman"/>
          <w:b w:val="0"/>
          <w:i/>
          <w:color w:val="000000"/>
          <w:sz w:val="24"/>
        </w:rPr>
        <w:t>IEEE Computer Society. (1998). IEEE Std 830-1998: IEEE Recommended Practice for Software Requirements Specifications. IEEE.</w:t>
      </w:r>
    </w:p>
    <w:p>
      <w:pPr>
        <w:spacing w:line="360" w:lineRule="auto" w:after="160"/>
      </w:pPr>
      <w:r>
        <w:rPr>
          <w:rFonts w:ascii="Times New Roman" w:hAnsi="Times New Roman"/>
          <w:b w:val="0"/>
          <w:i/>
          <w:color w:val="000000"/>
          <w:sz w:val="24"/>
        </w:rPr>
        <w:t>Supabase Documentation. (2026). Row Level Security &amp; Storage. Supabase Inc.</w:t>
      </w:r>
    </w:p>
    <w:p>
      <w:pPr>
        <w:keepNext/>
        <w:spacing w:before="280" w:after="160"/>
      </w:pPr>
      <w:r>
        <w:rPr>
          <w:rFonts w:ascii="Times New Roman" w:hAnsi="Times New Roman"/>
          <w:b/>
          <w:i w:val="0"/>
          <w:color w:val="0F766E"/>
          <w:sz w:val="28"/>
        </w:rPr>
        <w:t>2. Overall Description</w:t>
      </w:r>
    </w:p>
    <w:p>
      <w:pPr>
        <w:keepNext/>
        <w:spacing w:before="280" w:after="160"/>
      </w:pPr>
      <w:r>
        <w:rPr>
          <w:rFonts w:ascii="Times New Roman" w:hAnsi="Times New Roman"/>
          <w:b/>
          <w:i/>
          <w:color w:val="334155"/>
          <w:sz w:val="24"/>
        </w:rPr>
        <w:t>2.1 Product Perspective</w:t>
      </w:r>
    </w:p>
    <w:p>
      <w:pPr>
        <w:spacing w:line="360" w:lineRule="auto" w:after="160"/>
      </w:pPr>
      <w:r>
        <w:rPr>
          <w:rFonts w:ascii="Times New Roman" w:hAnsi="Times New Roman"/>
          <w:b w:val="0"/>
          <w:i w:val="0"/>
          <w:color w:val="000000"/>
          <w:sz w:val="24"/>
        </w:rPr>
        <w:t>SoluoPrint is a standalone multi-tenant web application that replaces spreadsheets and generic accounting systems. It integrates with external SMS services (smsonlineapi) and payment aggregators (Paystack) to deliver a unified workspace.</w:t>
      </w:r>
    </w:p>
    <w:p>
      <w:pPr>
        <w:keepNext/>
        <w:spacing w:before="280" w:after="160"/>
      </w:pPr>
      <w:r>
        <w:rPr>
          <w:rFonts w:ascii="Times New Roman" w:hAnsi="Times New Roman"/>
          <w:b/>
          <w:i/>
          <w:color w:val="334155"/>
          <w:sz w:val="24"/>
        </w:rPr>
        <w:t>2.2 Product Functions</w:t>
      </w:r>
    </w:p>
    <w:p>
      <w:pPr>
        <w:spacing w:line="360" w:lineRule="auto" w:after="160"/>
      </w:pPr>
      <w:r>
        <w:rPr>
          <w:rFonts w:ascii="Times New Roman" w:hAnsi="Times New Roman"/>
          <w:b w:val="0"/>
          <w:i w:val="0"/>
          <w:color w:val="000000"/>
          <w:sz w:val="24"/>
        </w:rPr>
        <w:t>Key functions include automated pricing, job workflow tracking (Pending, In Progress, Completed, Delivered), customer balance management, ledger expense/revenue logging, and multi-format analytics reporting.</w:t>
      </w:r>
    </w:p>
    <w:p>
      <w:pPr>
        <w:keepNext/>
        <w:spacing w:before="280" w:after="160"/>
      </w:pPr>
      <w:r>
        <w:rPr>
          <w:rFonts w:ascii="Times New Roman" w:hAnsi="Times New Roman"/>
          <w:b/>
          <w:i/>
          <w:color w:val="334155"/>
          <w:sz w:val="24"/>
        </w:rPr>
        <w:t>2.3 User Characteristics</w:t>
      </w:r>
    </w:p>
    <w:p>
      <w:pPr>
        <w:spacing w:line="360" w:lineRule="auto" w:after="160"/>
      </w:pPr>
      <w:r>
        <w:rPr>
          <w:rFonts w:ascii="Times New Roman" w:hAnsi="Times New Roman"/>
          <w:b w:val="0"/>
          <w:i w:val="0"/>
          <w:color w:val="000000"/>
          <w:sz w:val="24"/>
        </w:rPr>
        <w:t>• Shop Owner: Requires high-level financial health dashboards and settings control.</w:t>
        <w:br/>
        <w:t>• Press Operator: Requires simplified job lists and production tracking.</w:t>
        <w:br/>
        <w:t>• Customer: Requires self-service upload tools and payment checkout.</w:t>
      </w:r>
    </w:p>
    <w:p>
      <w:pPr>
        <w:keepNext/>
        <w:spacing w:before="280" w:after="160"/>
      </w:pPr>
      <w:r>
        <w:rPr>
          <w:rFonts w:ascii="Times New Roman" w:hAnsi="Times New Roman"/>
          <w:b/>
          <w:i/>
          <w:color w:val="334155"/>
          <w:sz w:val="24"/>
        </w:rPr>
        <w:t>2.4 Constraints</w:t>
      </w:r>
    </w:p>
    <w:p>
      <w:pPr>
        <w:spacing w:line="360" w:lineRule="auto" w:after="160"/>
      </w:pPr>
      <w:r>
        <w:rPr>
          <w:rFonts w:ascii="Times New Roman" w:hAnsi="Times New Roman"/>
          <w:b w:val="0"/>
          <w:i w:val="0"/>
          <w:color w:val="000000"/>
          <w:sz w:val="24"/>
        </w:rPr>
        <w:t>The application requires internet connectivity to communicate with the Supabase database. Upload file sizes are constrained up to 500MB via Namecheap cPanel PHP configuration.</w:t>
      </w:r>
    </w:p>
    <w:p>
      <w:pPr>
        <w:keepNext/>
        <w:spacing w:before="280" w:after="160"/>
      </w:pPr>
      <w:r>
        <w:rPr>
          <w:rFonts w:ascii="Times New Roman" w:hAnsi="Times New Roman"/>
          <w:b/>
          <w:i w:val="0"/>
          <w:color w:val="0F766E"/>
          <w:sz w:val="28"/>
        </w:rPr>
        <w:t>3. Specific Requirements</w:t>
      </w:r>
    </w:p>
    <w:p>
      <w:pPr>
        <w:keepNext/>
        <w:spacing w:before="280" w:after="160"/>
      </w:pPr>
      <w:r>
        <w:rPr>
          <w:rFonts w:ascii="Times New Roman" w:hAnsi="Times New Roman"/>
          <w:b/>
          <w:i/>
          <w:color w:val="334155"/>
          <w:sz w:val="24"/>
        </w:rPr>
        <w:t>3.1 Functional Requirements</w:t>
      </w:r>
    </w:p>
    <w:p>
      <w:pPr>
        <w:spacing w:line="360" w:lineRule="auto" w:after="160"/>
      </w:pPr>
      <w:r>
        <w:rPr>
          <w:rFonts w:ascii="Times New Roman" w:hAnsi="Times New Roman"/>
          <w:b w:val="0"/>
          <w:i w:val="0"/>
          <w:color w:val="000000"/>
          <w:sz w:val="24"/>
        </w:rPr>
        <w:t>FR-01: Dual-Provider Admin Authentication using Supabase Auth with RLS policies.</w:t>
        <w:br/>
        <w:t>FR-02: Customer Portal Dual Auth using custom customer credentials.</w:t>
        <w:br/>
        <w:t>FR-03: Single and Bulk Job Intake with automatic square footage calculation.</w:t>
        <w:br/>
        <w:t>FR-04: Preset Size Configuration to automate width/height fields in forms.</w:t>
        <w:br/>
        <w:t>FR-05: Real-time Production tracking across production phases.</w:t>
        <w:br/>
        <w:t>FR-06: Telephony Integration using smsonlineapi for transactional notifications.</w:t>
        <w:br/>
        <w:t>FR-07: Payment Clearing &amp; Ledger recording against outstanding balances.</w:t>
        <w:br/>
        <w:t>FR-08: In-App notification system triggered on job creations or portal uploads.</w:t>
        <w:br/>
        <w:t>FR-09: Financial report compilation (PDF/Excel/PNG export) for P&amp;L, Revenue, and Expenses.</w:t>
        <w:br/>
        <w:t>FR-10: Activity Logging &amp; Audit Trail to monitor user logins and operations.</w:t>
      </w:r>
    </w:p>
    <w:p>
      <w:pPr>
        <w:keepNext/>
        <w:spacing w:before="280" w:after="160"/>
      </w:pPr>
      <w:r>
        <w:rPr>
          <w:rFonts w:ascii="Times New Roman" w:hAnsi="Times New Roman"/>
          <w:b/>
          <w:i/>
          <w:color w:val="334155"/>
          <w:sz w:val="24"/>
        </w:rPr>
        <w:t>3.2 Non-Functional Requirements</w:t>
      </w:r>
    </w:p>
    <w:p>
      <w:pPr>
        <w:spacing w:line="360" w:lineRule="auto" w:after="160"/>
      </w:pPr>
      <w:r>
        <w:rPr>
          <w:rFonts w:ascii="Times New Roman" w:hAnsi="Times New Roman"/>
          <w:b w:val="0"/>
          <w:i w:val="0"/>
          <w:color w:val="000000"/>
          <w:sz w:val="24"/>
        </w:rPr>
        <w:t>• NFR-01: Performance &amp; Latency: Dashboard metrics and financial aggregations must load within 1.5 seconds under a load of 100 concurrent requests.</w:t>
        <w:br/>
        <w:t>• NFR-02: Security: All persistent tables must enforce Supabase Row Level Security (RLS) policies. Sensitive database credentials and API keys must be isolated in cPanel environment variables.</w:t>
        <w:br/>
        <w:t>• NFR-03: Reliability &amp; Fault Tolerance: The frontend application must include a ConnectivityManager to handle network drops and reconnect to database subscriptions seamlessly.</w:t>
        <w:br/>
        <w:t>• NFR-04: Portability: The system must render consistently across standard modern web browsers (Chrome, Safari, Firefox, Edge) using a responsive CSS layout.</w:t>
      </w:r>
    </w:p>
    <w:p>
      <w:pPr>
        <w:keepNext/>
        <w:spacing w:before="280" w:after="160"/>
      </w:pPr>
      <w:r>
        <w:rPr>
          <w:rFonts w:ascii="Times New Roman" w:hAnsi="Times New Roman"/>
          <w:b/>
          <w:i w:val="0"/>
          <w:color w:val="0F766E"/>
          <w:sz w:val="28"/>
        </w:rPr>
        <w:t>4. System Architecture &amp; Diagrams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3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3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i/>
          <w:color w:val="475569"/>
          <w:sz w:val="19"/>
        </w:rPr>
        <w:t>Figure Evidence: 3-Tier System Architecture Diagram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446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4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i/>
          <w:color w:val="475569"/>
          <w:sz w:val="19"/>
        </w:rPr>
        <w:t>Figure Evidence: Normalized Entity-Relationship Diagram (ERD)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378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3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i/>
          <w:color w:val="475569"/>
          <w:sz w:val="19"/>
        </w:rPr>
        <w:t>Figure Evidence: System Use Case Diagram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