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Times New Roman" w:hAnsi="Times New Roman"/>
          <w:b/>
          <w:color w:val="000000"/>
          <w:sz w:val="32"/>
        </w:rPr>
        <w:t>Software Effort Estimation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This section applies the Use Case Points (UCP) technique from Session 6 to estimate the effort for SoluoPrint.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1. Unadjusted Use Case Weight (UUCW)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Use Case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Complexity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Manage Customers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Create Print Job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Average (3-7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Record Payment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Average (3-7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Configure SMS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View Analytics Dashboard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(1 trans)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</w:tr>
    </w:tbl>
    <w:p/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UUCW: 35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2. Unadjusted Actor Weight (UAW)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Complexity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4"/>
              </w:rPr>
              <w:t>Weight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Shop Admin/Owner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Complex (GUI)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Customer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Simple (SMS Receiver)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</w:tr>
    </w:tbl>
    <w:p/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UAW: 4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Unadjusted Use Case Points (UUCP) = UUCW + UAW = 39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3. Adjusted Use Case Points (UCP)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Technical Complexity Factor (TCF) estimated at 1.05 (Distributed System, Web App).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Environmental Complexity Factor (ECF) estimated at 0.95 (High capability, React experience).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UCP = UUCP x TCF x ECF = 39 x 1.05 x 0.95 = 38.9</w:t>
      </w:r>
    </w:p>
    <w:p>
      <w:pPr>
        <w:pStyle w:val="Heading2"/>
        <w:spacing w:after="240"/>
      </w:pPr>
      <w:r>
        <w:rPr>
          <w:rFonts w:ascii="Times New Roman" w:hAnsi="Times New Roman"/>
          <w:b/>
          <w:color w:val="000000"/>
          <w:sz w:val="28"/>
        </w:rPr>
        <w:t>4. Effort Calculation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Using a productivity factor of 20 hours per UCP:</w:t>
      </w:r>
    </w:p>
    <w:p>
      <w:pPr>
        <w:spacing w:line="360" w:lineRule="auto" w:after="240"/>
      </w:pPr>
      <w:r>
        <w:rPr>
          <w:rFonts w:ascii="Times New Roman" w:hAnsi="Times New Roman"/>
          <w:b w:val="0"/>
          <w:sz w:val="24"/>
        </w:rPr>
        <w:t>Total Estimated Effort = 38.9 x 20 = 778 man-hours.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