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Times New Roman" w:hAnsi="Times New Roman"/>
          <w:b/>
          <w:color w:val="000000"/>
          <w:sz w:val="32"/>
        </w:rPr>
        <w:t>Technical Debt Register &amp; Repayment Plan</w:t>
      </w:r>
    </w:p>
    <w:p>
      <w:pPr>
        <w:pStyle w:val="Heading2"/>
        <w:spacing w:after="240"/>
      </w:pPr>
      <w:r>
        <w:rPr>
          <w:rFonts w:ascii="Times New Roman" w:hAnsi="Times New Roman"/>
          <w:b/>
          <w:color w:val="000000"/>
          <w:sz w:val="28"/>
        </w:rPr>
        <w:t>1. Debt Register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/>
                <w:b/>
                <w:sz w:val="24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/>
                <w:sz w:val="24"/>
              </w:rPr>
              <w:t>Debt Item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/>
                <w:sz w:val="24"/>
              </w:rPr>
              <w:t>Cause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/>
                <w:sz w:val="24"/>
              </w:rPr>
              <w:t>Impact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/>
                <w:sz w:val="24"/>
              </w:rPr>
              <w:t>Priority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b w:val="0"/>
                <w:sz w:val="24"/>
              </w:rPr>
              <w:t>TD1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 w:val="0"/>
                <w:sz w:val="24"/>
              </w:rPr>
              <w:t>Insecure Auth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 w:val="0"/>
                <w:sz w:val="24"/>
              </w:rPr>
              <w:t>Manual profile query for passwords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 w:val="0"/>
                <w:sz w:val="24"/>
              </w:rPr>
              <w:t>High Security Risk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 w:val="0"/>
                <w:sz w:val="24"/>
              </w:rPr>
              <w:t>Critical (Fixed in Step 0)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b w:val="0"/>
                <w:sz w:val="24"/>
              </w:rPr>
              <w:t>TD2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 w:val="0"/>
                <w:sz w:val="24"/>
              </w:rPr>
              <w:t>Missing Automated Tests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 w:val="0"/>
                <w:sz w:val="24"/>
              </w:rPr>
              <w:t>Time constraints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 w:val="0"/>
                <w:sz w:val="24"/>
              </w:rPr>
              <w:t>Regression risks during updates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 w:val="0"/>
                <w:sz w:val="24"/>
              </w:rPr>
              <w:t>High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b w:val="0"/>
                <w:sz w:val="24"/>
              </w:rPr>
              <w:t>TD3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 w:val="0"/>
                <w:sz w:val="24"/>
              </w:rPr>
              <w:t>Oversized Components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 w:val="0"/>
                <w:sz w:val="24"/>
              </w:rPr>
              <w:t>DashboardPage.jsx is too large (&gt;400 lines)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 w:val="0"/>
                <w:sz w:val="24"/>
              </w:rPr>
              <w:t>Hard to maintain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 w:val="0"/>
                <w:sz w:val="24"/>
              </w:rPr>
              <w:t>Medium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b w:val="0"/>
                <w:sz w:val="24"/>
              </w:rPr>
              <w:t>TD4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 w:val="0"/>
                <w:sz w:val="24"/>
              </w:rPr>
              <w:t>Hardcoded Values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 w:val="0"/>
                <w:sz w:val="24"/>
              </w:rPr>
              <w:t>Currency symbols partially hardcoded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 w:val="0"/>
                <w:sz w:val="24"/>
              </w:rPr>
              <w:t>Limited localization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 w:val="0"/>
                <w:sz w:val="24"/>
              </w:rPr>
              <w:t>Low</w:t>
            </w:r>
          </w:p>
        </w:tc>
      </w:tr>
    </w:tbl>
    <w:p/>
    <w:p>
      <w:pPr>
        <w:pStyle w:val="Heading2"/>
        <w:spacing w:after="240"/>
      </w:pPr>
      <w:r>
        <w:rPr>
          <w:rFonts w:ascii="Times New Roman" w:hAnsi="Times New Roman"/>
          <w:b/>
          <w:color w:val="000000"/>
          <w:sz w:val="28"/>
        </w:rPr>
        <w:t>2. Repayment Plan</w:t>
      </w:r>
    </w:p>
    <w:p>
      <w:pPr>
        <w:spacing w:line="360" w:lineRule="auto" w:after="240"/>
      </w:pPr>
      <w:r>
        <w:rPr>
          <w:rFonts w:ascii="Times New Roman" w:hAnsi="Times New Roman"/>
          <w:b w:val="0"/>
          <w:sz w:val="24"/>
        </w:rPr>
        <w:t>Phase 1 (Immediate): TD1 (Auth) fixed by migrating to Supabase auth properly.</w:t>
      </w:r>
    </w:p>
    <w:p>
      <w:pPr>
        <w:spacing w:line="360" w:lineRule="auto" w:after="240"/>
      </w:pPr>
      <w:r>
        <w:rPr>
          <w:rFonts w:ascii="Times New Roman" w:hAnsi="Times New Roman"/>
          <w:b w:val="0"/>
          <w:sz w:val="24"/>
        </w:rPr>
        <w:t>Phase 2 (Short Term): Address TD3 by refactoring DashboardPage.jsx into smaller sub-components (RevenueChart, RecentJobs).</w:t>
      </w:r>
    </w:p>
    <w:p>
      <w:pPr>
        <w:spacing w:line="360" w:lineRule="auto" w:after="240"/>
      </w:pPr>
      <w:r>
        <w:rPr>
          <w:rFonts w:ascii="Times New Roman" w:hAnsi="Times New Roman"/>
          <w:b w:val="0"/>
          <w:sz w:val="24"/>
        </w:rPr>
        <w:t>Phase 3 (Long Term): Implement Jest/React Testing Library for TD2.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