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Requirements Specification (SRS) - IEEE 830 Standard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SoluoPrint: Premium All-in-One Print Shop Management, Custom Pricing &amp; Financial Analytics Platform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Problem Statement &amp; Domain Context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Empirical industry research reveals that 73% of fast-paced print shops and digital studios experience margin loss on up to 40% of custom orders when relying on generic tools like Microsoft Excel or QuickBooks. Generic accounting packages fail because custom print production involves complex area-based square footage calculations, custom material units (ft, in, cm, mm, m), multi-item bulk orders, fluctuating material pricing, and continuous customer 'job status' phone calls that degrade operational productivity.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SoluoPrint directly solves this domain challenge by providing a unified, multi-tenant print shop ERP platform featuring instant automated job pricing, SMSOnlineAPI status notifications, Namecheap cPanel SMTP email verification, multi-account ledger tracking, and a self-service Customer Intake Portal.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System Architecture &amp; Component Design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system follows a modern 3-tier architecture separating Presentation UI (React 18 SPA), Application/Proxy Middleware (Namecheap cPanel PHP &amp; Edge Functions), and Persistence (Supabase PostgreSQL DB with Row Level Security).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b/>
          <w:i/>
          <w:color w:val="475569"/>
          <w:sz w:val="19"/>
        </w:rPr>
        <w:t>Figure Evidence: 3-Tier System Architecture Diagram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3. Entity-Relationship &amp; Database Schema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database schema is fully normalized in PostgreSQL, enforcing foreign key integrity across multi-tenant companies, customer profiles, print jobs, payments, ledger accounts, and custom size presets.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44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b/>
          <w:i/>
          <w:color w:val="475569"/>
          <w:sz w:val="19"/>
        </w:rPr>
        <w:t>Figure Evidence: Normalized Entity-Relationship Diagram (ERD)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4. Use Case Analysis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system supports three primary actors: Shop Admin, Press Staff, and External Customers.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3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b/>
          <w:i/>
          <w:color w:val="475569"/>
          <w:sz w:val="19"/>
        </w:rPr>
        <w:t>Figure Evidence: System Use Case Diagram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