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Quality Assurance &amp; Testing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QA Strategy Summary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Comprehensive black-box functional testing, integration verification, security checks, and usability validation performed across all live routes on https://print.soluotech.com.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Executive Test Execution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Module / Journey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Description &amp; Expected Outcome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Status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Defects &amp; Corrective Resolution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Attempt login with invalid credentials. System blocks and returns HTTP 401 error.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Supabase Auth handles rejection cleanly.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Login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with valid Admin credentials (pborngreatmensah@gmail.com). Redirects to /dashboard.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Dashboard loads stats within 1.2s on live server.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via /customer-login with CUST-AGAT-2837. Validates against customers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Initial hook crash. Fix: Reordered useMemo hooks prior to conditional returns.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Job Creation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print job with custom dimensions (W: 4, H: 6 ft). Calculates area and total price.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Total price matches square footage calculation.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Sticker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bulk sticker job. Selecting 'Sticker 3x3 in' populates W, H, unit (inch), &amp; price.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Unit stayed 'ft'. Fix: Updated handlePresetSelect to update unit and unit_price atomically.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Recording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Record payment against customer balance. Auto-clears balance and updates status to Completed.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Balance updates real-time in Supabase DB.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Dispatch payment receipt SMS via sms.js. Message contains customer name &amp; payment amount.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smsonlineapi responds with success code.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SMTP Email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Send email verification via /api/send_email.php using notify@soluotech.com over SSL 465.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Custom HTML verification email delivered.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Toolbar PDF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Revenue Report page to PDF. PDF includes visual canvas graphics and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Black canvas compositing. Fix: Standardized beforeDraw canvas wiping compositing.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Responsive Layout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Resize viewport to 1024px. Grid cards collapse to 1 column without overlapping.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Income/Expense card overlap. Fix: Added max-width 1200px 1fr grid rules.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