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1E3A8A"/>
          <w:sz w:val="36"/>
        </w:rPr>
        <w:t>Technical Debt Register &amp; Phased Repayment Plan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Author: Peter Borngreat-Mensah (Student Index: 22424679)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Course: CSCD 602 - Advanced Software Engineering, Department of Computer Science, University of Ghana.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1F5F9"/>
            <w:tcBorders>
              <w:top w:val="none"/>
              <w:left w:val="single" w:sz="24" w:space="0" w:color="1E3A8A"/>
              <w:bottom w:val="none"/>
              <w:right w:val="none"/>
            </w:tcBorders>
          </w:tcPr>
          <w:p>
            <w:pPr>
              <w:spacing w:line="312" w:lineRule="auto" w:after="80"/>
            </w:pPr>
            <w:r>
              <w:rPr>
                <w:rFonts w:ascii="Times New Roman" w:hAnsi="Times New Roman"/>
                <w:b/>
                <w:i w:val="0"/>
                <w:color w:val="1E3A8A"/>
                <w:sz w:val="22"/>
              </w:rPr>
              <w:t>NOTE: Technical Debt Philosophy</w:t>
              <w:br/>
            </w:r>
            <w:r>
              <w:rPr>
                <w:rFonts w:ascii="Times New Roman" w:hAnsi="Times New Roman"/>
                <w:b w:val="0"/>
                <w:i/>
                <w:color w:val="334155"/>
                <w:sz w:val="21"/>
              </w:rPr>
              <w:t>In a 48-hour development timeframe, strategic technical debt is deliberately incurred to prioritize core commercial requirements. All debt items are cataloged, prioritized, and assigned a remediation roadmap.</w:t>
            </w:r>
          </w:p>
        </w:tc>
      </w:tr>
    </w:tbl>
    <w:p/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1. Technical Debt Register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Debt ID</w:t>
            </w:r>
          </w:p>
        </w:tc>
        <w:tc>
          <w:tcPr>
            <w:tcW w:type="dxa" w:w="14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Technical Debt Item</w:t>
            </w:r>
          </w:p>
        </w:tc>
        <w:tc>
          <w:tcPr>
            <w:tcW w:type="dxa" w:w="14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Root Cause Analysis</w:t>
            </w:r>
          </w:p>
        </w:tc>
        <w:tc>
          <w:tcPr>
            <w:tcW w:type="dxa" w:w="14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Architectural Impact</w:t>
            </w:r>
          </w:p>
        </w:tc>
        <w:tc>
          <w:tcPr>
            <w:tcW w:type="dxa" w:w="14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Priority Rating</w:t>
            </w:r>
          </w:p>
        </w:tc>
        <w:tc>
          <w:tcPr>
            <w:tcW w:type="dxa" w:w="144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Resolution Status</w:t>
            </w:r>
          </w:p>
        </w:tc>
      </w:tr>
      <w:tr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TD-01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Manual Password Hashing in Prototype Auth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Rapid prototyping shortcut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High Security Risk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CRITICAL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RESOLVED (Migrated to Supabase Auth RLS)</w:t>
            </w:r>
          </w:p>
        </w:tc>
      </w:tr>
      <w:tr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TD-02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Lack of Automated Cypress E2E Tests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48-Hour Exam Time Constraint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Regression risk on future updates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Scheduled for Release v1.1</w:t>
            </w:r>
          </w:p>
        </w:tc>
      </w:tr>
      <w:tr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TD-03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Monolithic Dashboard Component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Speed of initial UI assembly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Decreased code maintainability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Scheduled for Release v1.1</w:t>
            </w:r>
          </w:p>
        </w:tc>
      </w:tr>
      <w:tr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TD-04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Hardcoded API Gateway Secrets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Quick API verification during exam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Security risk in repository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44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RESOLVED (Extracted to cPanel &amp; .env)</w:t>
            </w:r>
          </w:p>
        </w:tc>
      </w:tr>
      <w:tr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TD-05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Client-Side Financial Aggregations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Reduced backend RPC function overhead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Increased memory footprint for large datasets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44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Scheduled for Release v2.0</w:t>
            </w:r>
          </w:p>
        </w:tc>
      </w:tr>
    </w:tbl>
    <w:p/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2. Phased Technical Debt Repayment Roadmap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• Phase 1 (Immediate - Resolved): Fixed TD-01 and TD-04 by enforcing Supabase Auth Row Level Security (RLS) policies and extracting API credentials into environment variables on Namecheap cPanel.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• Phase 2 (Short-Term - Release v1.1): Implement Playwright E2E automated test suite (TD-02) and refactor DashboardPage.jsx into modular widgets (TD-03).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• Phase 3 (Medium-Term - Release v2.0): Migrate heavy financial report math from client JavaScript to Supabase PostgreSQL RPC stored procedures (TD-05).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