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45A3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90B391C" w14:textId="77777777" w:rsidTr="25FC3610">
        <w:trPr>
          <w:trHeight w:val="2192"/>
        </w:trPr>
        <w:tc>
          <w:tcPr>
            <w:tcW w:w="0" w:type="auto"/>
          </w:tcPr>
          <w:p w14:paraId="35B64AD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D62F985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4E9AC030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10BC26F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CBC330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B2EE66D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4AD61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66D0FD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F03F8D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93B44B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105817F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B45CF9C" w14:textId="77777777" w:rsidR="000E45E0" w:rsidRDefault="006C0537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En mi área (IA y datos) he cumplido lo planificado para esta fase. Completé la integración de los dos agentes de IA (agent-sag y agent-competidores) a la plataforma, orquestados con APScheduler, y el asistente RAG con Qdrant y embeddings multilingües de 384 dimensiones (A3, S3–S8). Esto quedó funcionando en el deploy público del 29 de septiembre (Vercel + Render), con el RAG respondiendo preguntas reales vía la API, cumpliendo el Hito 1. Quedan pendientes la migración a Qdrant Cloud y el motor de recomendac</w:t>
            </w:r>
            <w:r>
              <w:rPr>
                <w:rFonts w:ascii="Calibri" w:hAnsi="Calibri"/>
                <w:color w:val="000000"/>
              </w:rPr>
              <w:t>iones y alertas (A13, planificado S11–S15).</w:t>
            </w:r>
          </w:p>
          <w:p w14:paraId="203A71C9" w14:textId="77777777" w:rsidR="000E45E0" w:rsidRDefault="006C0537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Facilitadores: un modelo multilingüe compatible con la dimensión de Qdrant, la estructura de agentes ya creada y los endpoints de alertas y mercado ya autenticados contra MongoDB. Dificultades: el modelo de embeddings inicial no era soportado por fastembed, no existe un corpus documental validado por el cliente, los sitios que scrapean los agentes pueden cambiar y el antivirus bloqueaba conexiones a contenedores y a MongoDB Atlas.</w:t>
            </w:r>
          </w:p>
          <w:p w14:paraId="7D2BE4E3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F8D380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D692D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5CD1F6C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1C8934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C36DC1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6C5C58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DF1792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FA6B40B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D854D41" w14:textId="4BD1B573" w:rsidR="004F2A8B" w:rsidRPr="009C238D" w:rsidRDefault="006C0537" w:rsidP="009C238D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Cambié el modelo de embeddings por uno multilingüe de 384 dimensiones y agregué reintentos acotados y ejecución no bloqueante para que el RAG no frene la API. Mientras no haya corpus del cliente, trabajo con datos de demostración y solicitaré documentos validados a Encipharm. Para el motor de recomendaciones (A13), que depende de que el scraping (A12) pueble las colecciones, comenzaré con los datos ya disponibles de Drag Pharma y competitor_news, coordinándome con Benjamín. Para los cambios en los sitios ex</w:t>
            </w:r>
            <w:r>
              <w:rPr>
                <w:rFonts w:ascii="Calibri" w:hAnsi="Calibri"/>
                <w:color w:val="000000"/>
              </w:rPr>
              <w:t>ternos, propongo pruebas que detecten cuando un agente deja de extraer datos.</w:t>
            </w:r>
          </w:p>
        </w:tc>
      </w:tr>
    </w:tbl>
    <w:p w14:paraId="76F229C5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395830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F841D8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9F8F96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7B323EC3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6DF10D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8FDF5CA" w14:textId="472AE36E" w:rsidR="004F2A8B" w:rsidRPr="009C238D" w:rsidRDefault="006C0537" w:rsidP="009C238D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Evalúo mi trabajo de forma positiva. Destaco haber integrado los agentes de IA y dejado el RAG operativo y accesible por la API en un entorno público, no solo local. Para mejorar, debo agregar más pruebas automáticas al RAG y a los endpoints de IA, documentar mis avances a medida que los hago y adelantar el inicio del motor de recomendaciones para no acumular trabajo al final.</w:t>
            </w:r>
          </w:p>
          <w:p w14:paraId="51CB3161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9EA797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E90234C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1D7532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AA6F37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6CEF15B3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C9D0196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712400C" w14:textId="2AFD08BF" w:rsidR="004F2A8B" w:rsidRPr="009C238D" w:rsidRDefault="006C0537" w:rsidP="009C238D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Me inquieta cómo validar la calidad del RAG sin un corpus entregado por el cliente y cómo medir de forma confiable el Tiempo de Respuesta Competitiva (meta &lt; 4 horas). Pregunta a la docente: ¿es válido evaluar el RAG con un corpus de demostración si Encipharm no entrega documentos a tiempo? Pregunta a mis pares: ¿qué competidores priorizamos en la ampliación del scraping para alimentar las recomendaciones?</w:t>
            </w:r>
          </w:p>
          <w:p w14:paraId="322FC040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B20704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680E40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181C4F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9B7F6B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DB1C14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6D3D4B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BD56E17" w14:textId="77777777" w:rsidR="000E45E0" w:rsidRDefault="006C0537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La distribución por área funciona, pero proponemos ajustes: dado que A13 depende de A12, Elías apoyará la ampliación del scraping junto a Benjamín, ya que integró los agentes. Como nuevas tareas, se asigna a Elías la migración del RAG a Qdrant Cloud y la medición del Tiempo de Respuesta Competitiva, y a Felipe la ampliación de CORS dentro del cierre de hallazgos.</w:t>
            </w:r>
          </w:p>
          <w:p w14:paraId="55ED4E5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E2F4E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D9726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07576C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7514C2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4E2B82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447014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8BF770D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42F8EF2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087BD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07840E20" w14:textId="77777777" w:rsidR="000E45E0" w:rsidRDefault="006C0537">
            <w:pPr>
              <w:spacing w:before="120" w:after="120"/>
              <w:jc w:val="both"/>
            </w:pPr>
            <w:r>
              <w:rPr>
                <w:rFonts w:ascii="Calibri" w:hAnsi="Calibri"/>
                <w:color w:val="000000"/>
              </w:rPr>
              <w:t>Evaluamos bien el trabajo en grupo. Destacamos la división clara por área (backend y seguridad, bases de datos y calidad, IA y datos), el uso de ramas y revisión de código, y haber cumplido el Hito 1 con deploy público antes del cierre del plazo. Podemos mejorar la comunicación de dependencias entre tareas, mantener la documentación actualizada (como ARCHITECTURE.md) y repartir mejor la carga en semanas con plazos cortos entre hitos.</w:t>
            </w:r>
          </w:p>
          <w:p w14:paraId="701E9061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95C04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DC141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EB983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3AE891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2FC456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300234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5955" w14:textId="77777777" w:rsidR="006C0537" w:rsidRDefault="006C0537" w:rsidP="00DF38AE">
      <w:pPr>
        <w:spacing w:after="0" w:line="240" w:lineRule="auto"/>
      </w:pPr>
      <w:r>
        <w:separator/>
      </w:r>
    </w:p>
  </w:endnote>
  <w:endnote w:type="continuationSeparator" w:id="0">
    <w:p w14:paraId="4A2575CF" w14:textId="77777777" w:rsidR="006C0537" w:rsidRDefault="006C05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561F8D38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BF4629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4BF4629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2031" w14:textId="77777777" w:rsidR="006C0537" w:rsidRDefault="006C0537" w:rsidP="00DF38AE">
      <w:pPr>
        <w:spacing w:after="0" w:line="240" w:lineRule="auto"/>
      </w:pPr>
      <w:r>
        <w:separator/>
      </w:r>
    </w:p>
  </w:footnote>
  <w:footnote w:type="continuationSeparator" w:id="0">
    <w:p w14:paraId="3232B8D9" w14:textId="77777777" w:rsidR="006C0537" w:rsidRDefault="006C05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2CB946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2946BAF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2F3F735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45F95E8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2069D41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0888A3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B19FC0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83C9C76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84B1AB6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44C624D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16407ED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590F4C7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50B3C6E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E6C853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036633">
    <w:abstractNumId w:val="3"/>
  </w:num>
  <w:num w:numId="2" w16cid:durableId="2114550890">
    <w:abstractNumId w:val="8"/>
  </w:num>
  <w:num w:numId="3" w16cid:durableId="1366324699">
    <w:abstractNumId w:val="12"/>
  </w:num>
  <w:num w:numId="4" w16cid:durableId="648901628">
    <w:abstractNumId w:val="28"/>
  </w:num>
  <w:num w:numId="5" w16cid:durableId="310793375">
    <w:abstractNumId w:val="30"/>
  </w:num>
  <w:num w:numId="6" w16cid:durableId="545262831">
    <w:abstractNumId w:val="4"/>
  </w:num>
  <w:num w:numId="7" w16cid:durableId="1034884688">
    <w:abstractNumId w:val="11"/>
  </w:num>
  <w:num w:numId="8" w16cid:durableId="555549599">
    <w:abstractNumId w:val="19"/>
  </w:num>
  <w:num w:numId="9" w16cid:durableId="918558336">
    <w:abstractNumId w:val="15"/>
  </w:num>
  <w:num w:numId="10" w16cid:durableId="1677343892">
    <w:abstractNumId w:val="9"/>
  </w:num>
  <w:num w:numId="11" w16cid:durableId="2085255502">
    <w:abstractNumId w:val="24"/>
  </w:num>
  <w:num w:numId="12" w16cid:durableId="1018386966">
    <w:abstractNumId w:val="35"/>
  </w:num>
  <w:num w:numId="13" w16cid:durableId="1071342893">
    <w:abstractNumId w:val="29"/>
  </w:num>
  <w:num w:numId="14" w16cid:durableId="408892841">
    <w:abstractNumId w:val="1"/>
  </w:num>
  <w:num w:numId="15" w16cid:durableId="527916180">
    <w:abstractNumId w:val="36"/>
  </w:num>
  <w:num w:numId="16" w16cid:durableId="183790777">
    <w:abstractNumId w:val="21"/>
  </w:num>
  <w:num w:numId="17" w16cid:durableId="2029141976">
    <w:abstractNumId w:val="17"/>
  </w:num>
  <w:num w:numId="18" w16cid:durableId="970939197">
    <w:abstractNumId w:val="31"/>
  </w:num>
  <w:num w:numId="19" w16cid:durableId="174805155">
    <w:abstractNumId w:val="10"/>
  </w:num>
  <w:num w:numId="20" w16cid:durableId="1511796721">
    <w:abstractNumId w:val="39"/>
  </w:num>
  <w:num w:numId="21" w16cid:durableId="50426204">
    <w:abstractNumId w:val="34"/>
  </w:num>
  <w:num w:numId="22" w16cid:durableId="2133401556">
    <w:abstractNumId w:val="13"/>
  </w:num>
  <w:num w:numId="23" w16cid:durableId="1937326763">
    <w:abstractNumId w:val="14"/>
  </w:num>
  <w:num w:numId="24" w16cid:durableId="1337808384">
    <w:abstractNumId w:val="5"/>
  </w:num>
  <w:num w:numId="25" w16cid:durableId="936206709">
    <w:abstractNumId w:val="16"/>
  </w:num>
  <w:num w:numId="26" w16cid:durableId="1084180870">
    <w:abstractNumId w:val="20"/>
  </w:num>
  <w:num w:numId="27" w16cid:durableId="250161310">
    <w:abstractNumId w:val="23"/>
  </w:num>
  <w:num w:numId="28" w16cid:durableId="1965228413">
    <w:abstractNumId w:val="0"/>
  </w:num>
  <w:num w:numId="29" w16cid:durableId="889616332">
    <w:abstractNumId w:val="18"/>
  </w:num>
  <w:num w:numId="30" w16cid:durableId="1116482000">
    <w:abstractNumId w:val="22"/>
  </w:num>
  <w:num w:numId="31" w16cid:durableId="1446458437">
    <w:abstractNumId w:val="2"/>
  </w:num>
  <w:num w:numId="32" w16cid:durableId="274757879">
    <w:abstractNumId w:val="7"/>
  </w:num>
  <w:num w:numId="33" w16cid:durableId="1962493786">
    <w:abstractNumId w:val="32"/>
  </w:num>
  <w:num w:numId="34" w16cid:durableId="1839466157">
    <w:abstractNumId w:val="38"/>
  </w:num>
  <w:num w:numId="35" w16cid:durableId="41685129">
    <w:abstractNumId w:val="6"/>
  </w:num>
  <w:num w:numId="36" w16cid:durableId="586155613">
    <w:abstractNumId w:val="25"/>
  </w:num>
  <w:num w:numId="37" w16cid:durableId="1568494409">
    <w:abstractNumId w:val="37"/>
  </w:num>
  <w:num w:numId="38" w16cid:durableId="502164698">
    <w:abstractNumId w:val="27"/>
  </w:num>
  <w:num w:numId="39" w16cid:durableId="225457888">
    <w:abstractNumId w:val="26"/>
  </w:num>
  <w:num w:numId="40" w16cid:durableId="11579173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506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5E0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0227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28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0537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38D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206"/>
    <w:rsid w:val="00D056B0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1F6C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B4F6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Pumarino</cp:lastModifiedBy>
  <cp:revision>2</cp:revision>
  <cp:lastPrinted>2019-12-16T20:10:00Z</cp:lastPrinted>
  <dcterms:created xsi:type="dcterms:W3CDTF">2026-10-01T12:31:00Z</dcterms:created>
  <dcterms:modified xsi:type="dcterms:W3CDTF">2026-10-01T12:31:00Z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