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300"/>
        <w:jc w:val="center"/>
      </w:pPr>
      <w:r>
        <w:rPr>
          <w:rFonts w:ascii="Calibri" w:cs="Calibri" w:eastAsia="Calibri" w:hAnsi="Calibri"/>
          <w:b/>
          <w:bCs/>
          <w:color w:val="595959"/>
          <w:sz w:val="26"/>
          <w:szCs w:val="26"/>
        </w:rPr>
        <w:t xml:space="preserve">DUOC UC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Carrera: Ingeniería en Informática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Sede: San Joaquín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Asignatura: CAPSTONE_300D</w:t>
      </w:r>
    </w:p>
    <w:p>
      <w:pPr>
        <w:spacing w:after="100" w:before="500"/>
        <w:jc w:val="center"/>
      </w:pPr>
      <w:r>
        <w:rPr>
          <w:rFonts w:ascii="Calibri" w:cs="Calibri" w:eastAsia="Calibri" w:hAnsi="Calibri"/>
          <w:b/>
          <w:bCs/>
          <w:color w:val="0066B3"/>
          <w:sz w:val="52"/>
          <w:szCs w:val="52"/>
        </w:rPr>
        <w:t xml:space="preserve">ENCI-INTEL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00A651"/>
          <w:sz w:val="22"/>
          <w:szCs w:val="22"/>
        </w:rPr>
        <w:t xml:space="preserve">Plataforma de Inteligencia de Mercado con Agentes Autónomos de IA para Encipharm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Informe de Proyecto — Fase 1 (Capstone)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Integrantes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Benjamín Pumarino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Elías Sánchez</w:t>
      </w:r>
    </w:p>
    <w:p>
      <w:pPr>
        <w:spacing w:after="7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Felipe Ramos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Empresa mandante: Encipharm S.A.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Docente: Claudia Gabriela Reinoso Hurtado</w:t>
      </w:r>
    </w:p>
    <w:p>
      <w:pPr>
        <w:sectPr>
          <w:pgSz w:w="12240" w:h="15840" w:orient="portrait"/>
          <w:pgMar w:top="1300" w:right="1300" w:bottom="1300" w:left="13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A651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66B3"/>
          <w:sz w:val="30"/>
          <w:szCs w:val="30"/>
        </w:rPr>
        <w:t xml:space="preserve">Agenda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Contexto y problemática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Descripción del proyecto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Vínculo con el perfil de egreso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Relación con intereses profesionales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Factibilidad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Objetivos generales y específicos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Metodología de trabajo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Evidencias comprometidas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Plan de trabajo y Carta Gantt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Cierre: próximos pasos hacia Fase 2</w:t>
      </w:r>
    </w:p>
    <w:p>
      <w:pPr>
        <w:pStyle w:val="Heading1"/>
        <w:pBdr>
          <w:bottom w:val="single" w:color="00A651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66B3"/>
          <w:sz w:val="30"/>
          <w:szCs w:val="30"/>
        </w:rPr>
        <w:t xml:space="preserve">1. Contexto y Problemática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Encipharm es una empresa chilena con más de 25 años de trayectoria en salud, nutrición y bioseguridad animal, que compite con multinacionales como Zoetis y Virbac, y laboratorios nacionales como Drag Pharma y Agrovet. Su inteligencia competitiva se ha recopilado históricamente de forma manual (planillas Excel), generando latencias de 1 a 7 días para detectar cambios de precio, nuevos registros regulatorios ante el ISP o desabastecimientos de productos rivales — un proceso lento y propenso a errores que representa una desventaja estratégica frente a competidores mejor informados.</w:t>
      </w:r>
    </w:p>
    <w:p>
      <w:pPr>
        <w:shd w:fill="FFF4CC" w:val="clear"/>
        <w:spacing w:after="200" w:before="100"/>
      </w:pPr>
      <w:r>
        <w:rPr>
          <w:rFonts w:ascii="Calibri" w:cs="Calibri" w:eastAsia="Calibri" w:hAnsi="Calibri"/>
          <w:i/>
          <w:iCs/>
          <w:color w:val="7A5C00"/>
          <w:sz w:val="19"/>
          <w:szCs w:val="19"/>
        </w:rPr>
        <w:t xml:space="preserve">Nota: nuestro equipo ingresa a este proyecto en una etapa de continuidad: no partimos desde cero, sino que tomamos el desarrollo entregado por una cohorte anterior a través del ramo de Portafolio/Práctica.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La documentación técnica de cierre de esa cohorte deja explícitas varias brechas respecto al diseño original: reducción de 5 a 2 agentes productivos, endpoints de Productos y Mercado con datos de demostración (mock) en vez de datos reales de Firestore, el router de gestión de usuarios implementado pero no conectado a la aplicación, una cobertura de pruebas limitada a 8 smoke tests, y una clave de servicio expuesta pendiente de corrección. Esa reducción de alcance quedó formalizada el 19 de mayo de 2026 y el MVP resultante fue entregado y aceptado mediante Acta de Entrega y Conformidad firmada el 9 de julio de 2026 por el Product Owner (Max Kreimerman, Alloxentric) y el equipo de desarrollo saliente. Esas brechas —sobre el alcance ya aceptado— son el punto de partida de nuestra continuidad en el marco de Capstone.</w:t>
      </w:r>
    </w:p>
    <w:p>
      <w:pPr>
        <w:shd w:fill="FBEAE8" w:val="clear"/>
        <w:spacing w:after="200" w:before="100"/>
      </w:pPr>
      <w:r>
        <w:rPr>
          <w:rFonts w:ascii="Calibri" w:cs="Calibri" w:eastAsia="Calibri" w:hAnsi="Calibri"/>
          <w:i/>
          <w:iCs/>
          <w:color w:val="8A2318"/>
          <w:sz w:val="19"/>
          <w:szCs w:val="19"/>
        </w:rPr>
        <w:t xml:space="preserve">Un diagnóstico técnico independiente del código real, realizado el 2 de septiembre de 2026, confirmó y amplió estas brechas: se identificaron 27 hallazgos priorizados (P0 a P3), tres de ellos críticos de seguridad. Ese diagnóstico es la base de los objetivos, la metodología, la tabla de riesgos y el plan de trabajo presentados en las secciones siguientes de este informe.</w:t>
      </w:r>
    </w:p>
    <w:p>
      <w:pPr>
        <w:pStyle w:val="Heading1"/>
        <w:pBdr>
          <w:bottom w:val="single" w:color="00A651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66B3"/>
          <w:sz w:val="30"/>
          <w:szCs w:val="30"/>
        </w:rPr>
        <w:t xml:space="preserve">2. Descripción del Proyecto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Nombre oficial del proyecto: "Enci-Intel: Plataforma de Inteligencia de Mercado con Agentes Autónomos de IA para Encipharm".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ENCI-INTEL combina un enjambre de agentes de inteligencia artificial autónomos con una interfaz web para monitorear a la competencia y entregar alertas accionables al equipo comercial y a la gerencia de Encipharm.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A651"/>
          <w:sz w:val="24"/>
          <w:szCs w:val="24"/>
        </w:rPr>
        <w:t xml:space="preserve">2.1 Objetivo general resumido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Consolidar, corregir y completar el MVP de ENCI-INTEL heredado de la cohorte anterior, cerrando las brechas de calidad, integración y alcance identificadas en su documentación técnica de entrega.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A651"/>
          <w:sz w:val="24"/>
          <w:szCs w:val="24"/>
        </w:rPr>
        <w:t xml:space="preserve">2.2 En qué consiste abordarlo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El trabajo de esta etapa no es construir el sistema desde cero, sino diagnosticar el estado real del código y la documentación entregada, priorizar qué brechas cerrar, implementarlas y dejar evidencia formal de los cambios respecto a la versión recibida. Ese diagnóstico técnico ya fue realizado (2 de septiembre de 2026) y es el punto de partida concreto de las correcciones descritas en este informe: 27 hallazgos priorizados P0 a P3, cada uno con archivo y línea de referencia en el código.</w:t>
      </w:r>
    </w:p>
    <w:p>
      <w:pPr>
        <w:pStyle w:val="Heading1"/>
        <w:pBdr>
          <w:bottom w:val="single" w:color="00A651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66B3"/>
          <w:sz w:val="30"/>
          <w:szCs w:val="30"/>
        </w:rPr>
        <w:t xml:space="preserve">3. Vínculo con el Perfil de Egreso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A partir de la Guía de Definición de Proyecto APT presentada formalmente a la asignatura, y de las fortalezas declaradas por cada integrante en su Diario de Reflexión Fase 1, se identifican las siguientes competencias del perfil de egreso puestas en práctica: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700"/>
        <w:gridCol w:w="2740"/>
      </w:tblGrid>
      <w:tr>
        <w:trPr>
          <w:tblHeader/>
        </w:trPr>
        <w:tc>
          <w:tcPr>
            <w:tcW w:type="dxa" w:w="390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Competencia (APT)</w:t>
            </w:r>
          </w:p>
        </w:tc>
        <w:tc>
          <w:tcPr>
            <w:tcW w:type="dxa" w:w="270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Área de desempeño</w:t>
            </w:r>
          </w:p>
        </w:tc>
        <w:tc>
          <w:tcPr>
            <w:tcW w:type="dxa" w:w="274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3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Diseñar y desarrollar soluciones de software siguiendo buenas prácticas de arquitectura (frontend en React/TypeScript, backend en FastAPI/Python).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Desarrollo de software y arquitectura de sistemas</w:t>
            </w:r>
          </w:p>
        </w:tc>
        <w:tc>
          <w:tcPr>
            <w:tcW w:type="dxa" w:w="27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Fortaleza declarada por Felipe Ramos (programación) y por Benjamín/Elías (desarrollo web) en sus diarios.</w:t>
            </w:r>
          </w:p>
        </w:tc>
      </w:tr>
      <w:tr>
        <w:trPr>
          <w:cantSplit/>
        </w:trPr>
        <w:tc>
          <w:tcPr>
            <w:tcW w:type="dxa" w:w="3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soluciones basadas en Inteligencia Artificial, incluyendo agentes autónomos y modelos de lenguaje, para automatizar procesos de negocio.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Inteligencia Artificial aplicada</w:t>
            </w:r>
          </w:p>
        </w:tc>
        <w:tc>
          <w:tcPr>
            <w:tcW w:type="dxa" w:w="27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Núcleo técnico del proyecto heredado (motor de agentes y Consultor Veterinario IA); coincide con el interés compartido en automatización de procesos.</w:t>
            </w:r>
          </w:p>
        </w:tc>
      </w:tr>
      <w:tr>
        <w:trPr>
          <w:cantSplit/>
        </w:trPr>
        <w:tc>
          <w:tcPr>
            <w:tcW w:type="dxa" w:w="3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Integrar sistemas y fuentes de datos externas mediante APIs REST y servicios en la nube (Cloud Run, Cloud Scheduler, Cloud Tasks, Firestore).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Integración de sistemas mediante APIs y servicios cloud</w:t>
            </w:r>
          </w:p>
        </w:tc>
        <w:tc>
          <w:tcPr>
            <w:tcW w:type="dxa" w:w="27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Los tres integrantes señalan la integración de plataformas y APIs como una competencia a fortalecer en sus diarios.</w:t>
            </w:r>
          </w:p>
        </w:tc>
      </w:tr>
      <w:tr>
        <w:trPr>
          <w:cantSplit/>
        </w:trPr>
        <w:tc>
          <w:tcPr>
            <w:tcW w:type="dxa" w:w="3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Analizar e interpretar datos para generar inteligencia de negocio y apoyar la toma de decisiones estratégicas del equipo comercial y la gerencia.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Análisis de datos e inteligencia de negocio</w:t>
            </w:r>
          </w:p>
        </w:tc>
        <w:tc>
          <w:tcPr>
            <w:tcW w:type="dxa" w:w="27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Felipe Ramos declara este interés explícitamente como su proyección profesional a 5 años.</w:t>
            </w:r>
          </w:p>
        </w:tc>
      </w:tr>
      <w:tr>
        <w:trPr>
          <w:cantSplit/>
        </w:trPr>
        <w:tc>
          <w:tcPr>
            <w:tcW w:type="dxa" w:w="3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Aplicar técnicas y herramientas de aseguramiento de la calidad y automatización de pruebas de software.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Aseguramiento de la calidad de software (QA)</w:t>
            </w:r>
          </w:p>
        </w:tc>
        <w:tc>
          <w:tcPr>
            <w:tcW w:type="dxa" w:w="27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Fortaleza declarada explícitamente por Benjamín Pumarino y Elías Sánchez en sus diarios de reflexión; reforzada por el diagnóstico técnico, que priorizó 27 hallazgos y detectó una cobertura de pruebas insuficiente.</w:t>
            </w:r>
          </w:p>
        </w:tc>
      </w:tr>
      <w:tr>
        <w:trPr>
          <w:cantSplit/>
        </w:trPr>
        <w:tc>
          <w:tcPr>
            <w:tcW w:type="dxa" w:w="3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Aplicar metodologías ágiles de desarrollo de software en un proyecto de continuidad, priorizando el alcance y el valor de negocio.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Gestión de proyectos de software</w:t>
            </w:r>
          </w:p>
        </w:tc>
        <w:tc>
          <w:tcPr>
            <w:tcW w:type="dxa" w:w="27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Corresponde a la metodología Scrum/Kanban definida por el equipo, ahora aplicada a la priorización P0–P3 de los hallazgos del diagnóstico técnico.</w:t>
            </w:r>
          </w:p>
        </w:tc>
      </w:tr>
    </w:tbl>
    <w:p>
      <w:pPr>
        <w:spacing w:after="100" w:before="140" w:line="3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Competencias del perfil de egreso identificadas según la Guía de Definición de Proyecto APT, los Diarios de Reflexión Fase 1 y el diagnóstico técnico realizado el 2 de septiembre de 2026.</w:t>
      </w:r>
    </w:p>
    <w:p>
      <w:pPr>
        <w:pStyle w:val="Heading1"/>
        <w:pBdr>
          <w:bottom w:val="single" w:color="00A651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66B3"/>
          <w:sz w:val="30"/>
          <w:szCs w:val="30"/>
        </w:rPr>
        <w:t xml:space="preserve">4. Relación con Intereses Profesionales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Felipe Ramos señala en su diario que el proyecto "calza con mi interés en programación y análisis de datos"; su proyección profesional apunta a desempeñarse como programador o en análisis de datos. El diagnóstico técnico le asigna directamente las correcciones de backend priorizadas: autenticación en los endpoints de lectura, la región del Cloud Scheduler, la ampliación de CORS y la unificación del campo de rol.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Benjamín Pumarino y Elías Sánchez comparten interés en automatización de procesos, documentación y calidad de software, y proyectan un escenario laboral centrado en calidad de software y automatización de pruebas. El diagnóstico técnico —27 hallazgos priorizados, cobertura de pruebas insuficiente y pipelines de CI/CD a mejorar— les da un terreno concreto para aplicar justo ese interés, en lugar de una cobertura reducida a 8 smoke tests como brecha abstracta.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El proyecto también se relaciona con un interés compartido por el desarrollo de software full-stack y el trabajo con arquitecturas cloud: trabajar sobre hallazgos técnicos reales, ya priorizados, permite desarrollar habilidades de análisis de código existente y de toma de decisiones técnicas, en lugar de levantar todo desde cero.</w:t>
      </w:r>
    </w:p>
    <w:p>
      <w:pPr>
        <w:pStyle w:val="Heading1"/>
        <w:pBdr>
          <w:bottom w:val="single" w:color="00A651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66B3"/>
          <w:sz w:val="30"/>
          <w:szCs w:val="30"/>
        </w:rPr>
        <w:t xml:space="preserve">5. Factibilidad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A651"/>
          <w:sz w:val="24"/>
          <w:szCs w:val="24"/>
        </w:rPr>
        <w:t xml:space="preserve">5.1 Tiempo disponible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El proyecto se desarrolla en las tres fases de la asignatura Capstone (18 semanas aproximadamente), lo que resulta compatible con un desarrollo incremental sobre una base de código y arquitectura ya existentes.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A651"/>
          <w:sz w:val="24"/>
          <w:szCs w:val="24"/>
        </w:rPr>
        <w:t xml:space="preserve">5.2 Materiales y recursos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Código fuente y proyecto GCP heredados de la cohorte anterior (Cloud Run, Cloud Scheduler, Cloud Tasks, Firestore, Secret Manager).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Documentación heredada: documento funcional, PRD, especificación de API (22 endpoints), documento de alcance reducido (acuerdo de control de cambios del 19 de mayo de 2026) y Acta de Entrega y Conformidad del MVP, firmada el 9 de julio de 2026.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Acceso al sistema en producción (https://enci-intel-557520605916.us-west1.run.app/) y al repositorio de código fuente en GitHub, entregados formalmente en dicha acta.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Stack existente: React + TypeScript, FastAPI/Python, Firebase Authentication, Gemini 2.5 Flash / Groq como IA generativa.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Diagnóstico técnico independiente del código real, realizado el 2 de septiembre de 2026: 27 hallazgos priorizados P0–P3, cada uno con archivo y línea de referencia.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A651"/>
          <w:sz w:val="24"/>
          <w:szCs w:val="24"/>
        </w:rPr>
        <w:t xml:space="preserve">5.3 Factores externos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Facilitadores: contar con el diagnóstico técnico propio ya realizado (27 hallazgos priorizados y accionables) reduce fuertemente la incertidumbre de esta primera etapa; además, al ser un proyecto de continuidad, ya existen documentación funcional y PRD completos, una API especificada, un alcance acotado y firmado, y un MVP aceptado formalmente en producción.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Dificultadores: posibles cambios en la estructura de los portales externos que consultan los agentes (ISP, SAG/Aduanas, LinkedIn, portales agropecuarios), lo que podría romper el scraping o extracción de datos — mitigable con datos de prueba/mocks y monitoreo de errores. También existe riesgo de límites de cuota en el uso de la IA generativa, mitigable con caching de respuestas y control de consumo.</w:t>
      </w:r>
    </w:p>
    <w:p>
      <w:pPr>
        <w:shd w:fill="FFF4CC" w:val="clear"/>
        <w:spacing w:after="200" w:before="100"/>
      </w:pPr>
      <w:r>
        <w:rPr>
          <w:rFonts w:ascii="Calibri" w:cs="Calibri" w:eastAsia="Calibri" w:hAnsi="Calibri"/>
          <w:i/>
          <w:iCs/>
          <w:color w:val="7A5C00"/>
          <w:sz w:val="19"/>
          <w:szCs w:val="19"/>
        </w:rPr>
        <w:t xml:space="preserve">Nota: la Acta de Entrega y Conformidad del MVP (9 de julio de 2026, firmada por Max Kreimerman — Product Owner de Alloxentric — y por el equipo de desarrollo saliente) resuelve la ambigüedad de alcance detectada entre la Guía APT y la Documentación Técnica: el alcance formalmente aceptado y cerrado es el reducido (Dashboard + Alertas, Agente SAG, Agente Lanzamientos, Consultor Vet IA y Panel Admin), no el diseño original de 5 agentes. Alloxentric aparece en esta acta como la entidad que gestiona la relación con Encipharm (el Product Owner firma "a nombre de Alloxentric"); Encipharm sigue siendo la empresa cuyo problema de negocio resuelve la plataforma.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A651"/>
          <w:sz w:val="24"/>
          <w:szCs w:val="24"/>
        </w:rPr>
        <w:t xml:space="preserve">5.4 Riesgos relevantes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000"/>
        <w:gridCol w:w="4040"/>
      </w:tblGrid>
      <w:tr>
        <w:trPr>
          <w:tblHeader/>
        </w:trPr>
        <w:tc>
          <w:tcPr>
            <w:tcW w:type="dxa" w:w="430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00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404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4300"/>
            <w:shd w:fill="FBEA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Persisten 3 hallazgos críticos de seguridad (P0) hasta que se implementen las correcciones: endpoints de lectura sin autenticación, ausencia de firestore.rules y región del Cloud Scheduler mal codificada.</w:t>
            </w:r>
          </w:p>
        </w:tc>
        <w:tc>
          <w:tcPr>
            <w:tcW w:type="dxa" w:w="1000"/>
            <w:shd w:fill="FBEA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3261E"/>
                <w:sz w:val="20"/>
                <w:szCs w:val="20"/>
              </w:rPr>
              <w:t xml:space="preserve">Alto</w:t>
            </w:r>
          </w:p>
        </w:tc>
        <w:tc>
          <w:tcPr>
            <w:tcW w:type="dxa" w:w="4040"/>
            <w:shd w:fill="FBEAE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Corrección P0 programada como primera actividad del plan de trabajo (semanas 1 y 2), antes de cualquier otra tarea.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 Encipharm (empresa mandante) no acompañe apropiadamente el proceso de validación de las brechas priorizadas.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</w:t>
            </w:r>
          </w:p>
        </w:tc>
        <w:tc>
          <w:tcPr>
            <w:tcW w:type="dxa" w:w="4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Agendar reuniones de validación tempranas y documentar todas las decisiones de alcance.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Falta de acceso o de contexto sobre credenciales, decisiones técnicas o accesos GCP heredados del equipo anterior.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</w:t>
            </w:r>
          </w:p>
        </w:tc>
        <w:tc>
          <w:tcPr>
            <w:tcW w:type="dxa" w:w="40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Solicitar handoff formal y revisar la documentación técnica de cierre y la Acta de Entrega como fuente primaria antes de intervenir el código.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 las funcionalidades de Fase 2 (mejora opcional) se prioricen antes de cerrar las brechas de calidad del MVP ya aceptado.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</w:t>
            </w:r>
          </w:p>
        </w:tc>
        <w:tc>
          <w:tcPr>
            <w:tcW w:type="dxa" w:w="4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Priorizar siempre las brechas P0–P1 sobre el alcance aceptado antes de evaluar mejoras opcionales.</w:t>
            </w:r>
          </w:p>
        </w:tc>
      </w:tr>
      <w:tr>
        <w:trPr>
          <w:cantSplit/>
        </w:trPr>
        <w:tc>
          <w:tcPr>
            <w:tcW w:type="dxa" w:w="43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Cambios en la estructura de portales externos (ISP, SAG/Aduanas, LinkedIn) que rompan el scraping de los agentes.</w:t>
            </w:r>
          </w:p>
        </w:tc>
        <w:tc>
          <w:tcPr>
            <w:tcW w:type="dxa" w:w="10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Medio</w:t>
            </w:r>
          </w:p>
        </w:tc>
        <w:tc>
          <w:tcPr>
            <w:tcW w:type="dxa" w:w="40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Usar datos de prueba/mocks y monitoreo de errores; priorizar APIs oficiales cuando existan.</w:t>
            </w:r>
          </w:p>
        </w:tc>
      </w:tr>
    </w:tbl>
    <w:p>
      <w:pPr>
        <w:pStyle w:val="Heading1"/>
        <w:pBdr>
          <w:bottom w:val="single" w:color="00A651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66B3"/>
          <w:sz w:val="30"/>
          <w:szCs w:val="30"/>
        </w:rPr>
        <w:t xml:space="preserve">6. Objetivos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A651"/>
          <w:sz w:val="24"/>
          <w:szCs w:val="24"/>
        </w:rPr>
        <w:t xml:space="preserve">6.1 Objetivo general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Corregir y robustecer el MVP de ENCI-INTEL heredado, cerrando las brechas críticas de seguridad, correctitud, escalabilidad y calidad confirmadas por el diagnóstico técnico independiente del 2 de septiembre de 2026, dentro del alcance formalmente aceptado en la Acta de Entrega y Conformidad del 9 de julio de 2026.</w:t>
      </w:r>
    </w:p>
    <w:p>
      <w:pPr>
        <w:shd w:fill="FFF4CC" w:val="clear"/>
        <w:spacing w:after="200" w:before="100"/>
      </w:pPr>
      <w:r>
        <w:rPr>
          <w:rFonts w:ascii="Calibri" w:cs="Calibri" w:eastAsia="Calibri" w:hAnsi="Calibri"/>
          <w:i/>
          <w:iCs/>
          <w:color w:val="7A5C00"/>
          <w:sz w:val="19"/>
          <w:szCs w:val="19"/>
        </w:rPr>
        <w:t xml:space="preserve">Nota: la Guía de Definición de Proyecto APT presentada en Fase 1 planteó un objetivo más ambicioso —reincorporar la totalidad de los 5 agentes originales y avanzar hacia los componentes de Fase 2 (Análisis de Productos, Mapa Competitivo)—, redactado antes de tener a la vista la Acta de Entrega y Conformidad y el diagnóstico técnico. Esa acta confirma que el alcance vigente y aceptado por Encipharm/Alloxentric es el reducido (Dashboard + Alertas, Agente SAG, Agente Lanzamientos, Consultor Vet IA, Panel Admin); los componentes de Fase 2 quedan como una mejora a evaluar y proponer, no como una brecha pendiente de corrección.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A651"/>
          <w:sz w:val="24"/>
          <w:szCs w:val="24"/>
        </w:rPr>
        <w:t xml:space="preserve">6.2 Objetivos específicos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Corregir los 3 hallazgos críticos de seguridad (P0): autenticación en endpoints de lectura, reglas de Firestore versionadas y la región mal codificada del Cloud Scheduler.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Unificar el nombre y los valores del campo "rol" entre backend, frontend y documentación.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Migrar el motor RAG a un modelo de embeddings multilingüe y reindexar el corpus en español.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Reemplazar el pickle del vector store por un formato no ejecutable y mover el rate limiter y el caché a almacenamiento compartido entre instancias.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Endurecer los agentes de scraping (SAG y competidores) y completar el filtrado de alertas por vigencia (status/expires_at).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Elevar la cobertura de pruebas automatizadas, migrar a safety scan y sumar smoke tests de frontend.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Validar con Encipharm y Alloxentric el cierre de las brechas priorizadas y documentar el estado real del sistema al cierre del Capstone.</w:t>
      </w:r>
    </w:p>
    <w:p>
      <w:pPr>
        <w:pStyle w:val="Heading1"/>
        <w:pBdr>
          <w:bottom w:val="single" w:color="00A651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66B3"/>
          <w:sz w:val="30"/>
          <w:szCs w:val="30"/>
        </w:rPr>
        <w:t xml:space="preserve">7. Metodología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A651"/>
          <w:sz w:val="24"/>
          <w:szCs w:val="24"/>
        </w:rPr>
        <w:t xml:space="preserve">7.1 Etapas de trabajo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Dada la naturaleza de continuidad del proyecto, la metodología se basa en un enfoque ágil (Scrum/Kanban) con sprints iterativos de aproximadamente 2 semanas, estructurado en seis etapas: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Diagnóstico técnico: ya realizado (2 de septiembre de 2026) — 27 hallazgos priorizados P0–P3, con archivo y línea de referencia en el código.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Corrección P0 crítica: autenticación en endpoints de lectura, firestore.rules y la región del Cloud Scheduler, antes que cualquier otra tarea.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Desarrollo iterativo P1–P2 (sprints de aproximadamente 2 semanas): embeddings multilingües, vector store, caché, scrapers y alertas.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Integración continua: uso de pipelines de CI/CD con GitHub Actions hacia Cloud Run y pruebas automatizadas.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Pruebas y validación: pruebas funcionales end-to-end y validación de las brechas cerradas junto a Encipharm y Alloxentric.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Despliegue y cierre: puesta en producción, medición de resultados y documentación final.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A651"/>
          <w:sz w:val="24"/>
          <w:szCs w:val="24"/>
        </w:rPr>
        <w:t xml:space="preserve">7.2 Roles y responsabilidades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Distribución de roles según lo presentado formalmente en la Guía de Definición de Proyecto APT, ahora con tareas concretas asignadas a partir del diagnóstico técnico: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40"/>
        <w:gridCol w:w="4700"/>
      </w:tblGrid>
      <w:tr>
        <w:trPr>
          <w:tblHeader/>
        </w:trPr>
        <w:tc>
          <w:tcPr>
            <w:tcW w:type="dxa" w:w="190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274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470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Responsabilidades principales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Benjamín Pumarino</w:t>
            </w:r>
          </w:p>
        </w:tc>
        <w:tc>
          <w:tcPr>
            <w:tcW w:type="dxa" w:w="27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Integración de sistemas y APIs / Aseguramiento de la calidad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Versionar las reglas de Firestore, mover el caché y el rate limiter a almacenamiento compartido, endurecer los agentes de scraping, ampliar la cobertura de pruebas y validar los resultados end-to-end.</w:t>
            </w:r>
          </w:p>
        </w:tc>
      </w:tr>
      <w:tr>
        <w:trPr>
          <w:cantSplit/>
        </w:trPr>
        <w:tc>
          <w:tcPr>
            <w:tcW w:type="dxa" w:w="1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Felipe Ramos</w:t>
            </w:r>
          </w:p>
        </w:tc>
        <w:tc>
          <w:tcPr>
            <w:tcW w:type="dxa" w:w="27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Desarrollo de software (backend)</w:t>
            </w:r>
          </w:p>
        </w:tc>
        <w:tc>
          <w:tcPr>
            <w:tcW w:type="dxa" w:w="4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Implementar autenticación en los endpoints de lectura, corregir la región del Cloud Scheduler, ampliar CORS al entorno de test y unificar el campo de rol.</w:t>
            </w:r>
          </w:p>
        </w:tc>
      </w:tr>
      <w:tr>
        <w:trPr>
          <w:cantSplit/>
        </w:trPr>
        <w:tc>
          <w:tcPr>
            <w:tcW w:type="dxa" w:w="1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Elías Sánchez</w:t>
            </w:r>
          </w:p>
        </w:tc>
        <w:tc>
          <w:tcPr>
            <w:tcW w:type="dxa" w:w="27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Análisis de datos e IA aplicada</w:t>
            </w:r>
          </w:p>
        </w:tc>
        <w:tc>
          <w:tcPr>
            <w:tcW w:type="dxa" w:w="4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Migrar el motor RAG a embeddings multilingües y reindexar el corpus, reemplazar el pickle del vector store y filtrar las alertas por vigencia e idioma.</w:t>
            </w:r>
          </w:p>
        </w:tc>
      </w:tr>
    </w:tbl>
    <w:p>
      <w:pPr>
        <w:pStyle w:val="Heading1"/>
        <w:pBdr>
          <w:bottom w:val="single" w:color="00A651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66B3"/>
          <w:sz w:val="30"/>
          <w:szCs w:val="30"/>
        </w:rPr>
        <w:t xml:space="preserve">8. Evidencias Comprometidas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3200"/>
        <w:gridCol w:w="2640"/>
      </w:tblGrid>
      <w:tr>
        <w:trPr>
          <w:tblHeader/>
        </w:trPr>
        <w:tc>
          <w:tcPr>
            <w:tcW w:type="dxa" w:w="110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dxa" w:w="320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64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Avance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Diagnóstico técnico independiente (completado)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Análisis del código heredado: arquitectura de los 5 componentes, 27 hallazgos priorizados P0–P3 con archivo y línea de referencia, realizado el 2 de septiembre de 2026.</w:t>
            </w:r>
          </w:p>
        </w:tc>
        <w:tc>
          <w:tcPr>
            <w:tcW w:type="dxa" w:w="2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Ya entregado; permite iniciar las correcciones priorizadas desde la semana 1 en vez de dedicar la Fase 1 solo a diagnosticar.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Avance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Prototipo funcional de mejoras desplegado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Despliegue en Cloud Run de al menos una corrección P0 (por ejemplo, autenticación en endpoints de lectura), funcionando de forma automatizada.</w:t>
            </w:r>
          </w:p>
        </w:tc>
        <w:tc>
          <w:tcPr>
            <w:tcW w:type="dxa" w:w="26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Evidencia un avance real y medible sobre los hallazgos críticos identificados.</w:t>
            </w:r>
          </w:p>
        </w:tc>
      </w:tr>
      <w:tr>
        <w:trPr>
          <w:cantSplit/>
        </w:trPr>
        <w:tc>
          <w:tcPr>
            <w:tcW w:type="dxa" w:w="11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Módulos actualizados e integrados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actualizado con los 14 hallazgos/tareas priorizados implementados, según el alcance de continuidad.</w:t>
            </w:r>
          </w:p>
        </w:tc>
        <w:tc>
          <w:tcPr>
            <w:tcW w:type="dxa" w:w="26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Demuestra el cierre de las brechas comprometidas para esta etapa.</w:t>
            </w:r>
          </w:p>
        </w:tc>
      </w:tr>
      <w:tr>
        <w:trPr>
          <w:cantSplit/>
        </w:trPr>
        <w:tc>
          <w:tcPr>
            <w:tcW w:type="dxa" w:w="11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Informe de resultados</w:t>
            </w:r>
          </w:p>
        </w:tc>
        <w:tc>
          <w:tcPr>
            <w:tcW w:type="dxa" w:w="3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Informe final que documenta el trabajo realizado, los hallazgos P0–P3 cerrados y los resultados obtenidos versus lo planificado.</w:t>
            </w:r>
          </w:p>
        </w:tc>
        <w:tc>
          <w:tcPr>
            <w:tcW w:type="dxa" w:w="26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Permite contrastar los resultados obtenidos con los objetivos planificados y sustenta la evaluación final del Proyecto APT.</w:t>
            </w:r>
          </w:p>
        </w:tc>
      </w:tr>
    </w:tbl>
    <w:p>
      <w:pPr>
        <w:pStyle w:val="Heading1"/>
        <w:pBdr>
          <w:bottom w:val="single" w:color="00A651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66B3"/>
          <w:sz w:val="30"/>
          <w:szCs w:val="30"/>
        </w:rPr>
        <w:t xml:space="preserve">9. Plan de Trabajo y Carta Gantt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Plan de trabajo con 14 actividades trazables a los hallazgos priorizados (P0–P3) del diagnóstico técnico, alineadas a la distribución de roles definida en la Guía de Definición de Proyecto APT.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600"/>
        <w:gridCol w:w="1500"/>
        <w:gridCol w:w="900"/>
        <w:gridCol w:w="1140"/>
      </w:tblGrid>
      <w:tr>
        <w:trPr>
          <w:tblHeader/>
        </w:trPr>
        <w:tc>
          <w:tcPr>
            <w:tcW w:type="dxa" w:w="150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Competencia</w:t>
            </w:r>
          </w:p>
        </w:tc>
        <w:tc>
          <w:tcPr>
            <w:tcW w:type="dxa" w:w="170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60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Recursos</w:t>
            </w:r>
          </w:p>
        </w:tc>
        <w:tc>
          <w:tcPr>
            <w:tcW w:type="dxa" w:w="90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114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de sistemas y APIs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Autenticación en endpoints de lectura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Añadir dependencia de autenticación (token válido y rol) a dashboard, alerts y agents.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FastAPI, Firebase Auth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semanas</w:t>
            </w:r>
          </w:p>
        </w:tc>
        <w:tc>
          <w:tcPr>
            <w:tcW w:type="dxa" w:w="1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Felipe Ramos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de sistemas y APIs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Versionar reglas de Firestore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Crear y versionar firestore.rules restringiendo la escritura de users/{uid} a campos no sensibles.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Firestore, GCP IAM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semanas</w:t>
            </w:r>
          </w:p>
        </w:tc>
        <w:tc>
          <w:tcPr>
            <w:tcW w:type="dxa" w:w="11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Benjamín Pumarino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Análisis de datos e IA aplicada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Embeddings multilingües y reindexado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Cambiar el modelo de embeddings a uno multilingüe y reindexar el corpus en español.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fastembed/Gemini, Cloud Storage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semanas</w:t>
            </w:r>
          </w:p>
        </w:tc>
        <w:tc>
          <w:tcPr>
            <w:tcW w:type="dxa" w:w="1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Elías Sánchez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de sistemas y APIs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Corrección de la región del Scheduler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Corregir la región del Cloud Scheduler (agents.py) a us-west1.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 Scheduler, GCP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semana</w:t>
            </w:r>
          </w:p>
        </w:tc>
        <w:tc>
          <w:tcPr>
            <w:tcW w:type="dxa" w:w="11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Felipe Ramos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Integración de sistemas y APIs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limiter y caché compartidos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Mover el rate limiter y el caché a almacenamiento compartido (Firestore/Redis) con TTL y eviction.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Firestore/Redis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semanas</w:t>
            </w:r>
          </w:p>
        </w:tc>
        <w:tc>
          <w:tcPr>
            <w:tcW w:type="dxa" w:w="1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Benjamín Pumarino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Desarrollo de software y arquitectura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Ampliación de CORS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Añadir el origen del frontend de test a la lista de CORS.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FastAPI, Cloud Run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semana</w:t>
            </w:r>
          </w:p>
        </w:tc>
        <w:tc>
          <w:tcPr>
            <w:tcW w:type="dxa" w:w="11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Felipe Ramos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Aseguramiento de la calidad (QA)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Reemplazo del pickle del vector store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Reemplazar el pickle del vector store por un formato no ejecutable y añadir locking.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Cloud Storage, motor RAG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semanas</w:t>
            </w:r>
          </w:p>
        </w:tc>
        <w:tc>
          <w:tcPr>
            <w:tcW w:type="dxa" w:w="1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Elías Sánchez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Desarrollo de software y arquitectura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Unificación del campo "rol"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Unificar el nombre y los valores del campo de rol en backend, frontend y documentación.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Backend, frontend, Firestore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semanas</w:t>
            </w:r>
          </w:p>
        </w:tc>
        <w:tc>
          <w:tcPr>
            <w:tcW w:type="dxa" w:w="11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Felipe Ramos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Aseguramiento de la calidad (QA)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Endurecimiento de agentes de scraping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Validar estructura de datos, manejo de errores y pruebas con fixtures HTML en agent-sag y agent-competidores.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agent-sag, agent-competidores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semanas</w:t>
            </w:r>
          </w:p>
        </w:tc>
        <w:tc>
          <w:tcPr>
            <w:tcW w:type="dxa" w:w="1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Benjamín Pumarino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Análisis de datos e IA aplicada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Filtrado de alertas por vigencia e idioma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Filtrar alerts/ por status y expires_at; aplicar el idioma en engine.query.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Firestore, motor RAG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semanas</w:t>
            </w:r>
          </w:p>
        </w:tc>
        <w:tc>
          <w:tcPr>
            <w:tcW w:type="dxa" w:w="11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Elías Sánchez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Aseguramiento de la calidad (QA)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Cobertura de pruebas y safety scan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Elevar la cobertura de pruebas automatizadas, migrar a safety scan y sumar smoke tests de frontend.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Actions, pytest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semanas</w:t>
            </w:r>
          </w:p>
        </w:tc>
        <w:tc>
          <w:tcPr>
            <w:tcW w:type="dxa" w:w="1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Benjamín Pumarino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Aseguramiento de la calidad (QA)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Pruebas funcionales end-to-end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Ejecutar pruebas end-to-end y validación sobre el sistema actualizado.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Actions, Cloud Run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semanas</w:t>
            </w:r>
          </w:p>
        </w:tc>
        <w:tc>
          <w:tcPr>
            <w:tcW w:type="dxa" w:w="11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Benjamín Pumarino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Gestión de proyectos de software</w:t>
            </w:r>
          </w:p>
        </w:tc>
        <w:tc>
          <w:tcPr>
            <w:tcW w:type="dxa" w:w="17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Validación de brechas con Encipharm/Alloxentric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Validar con la empresa mandante el cierre de las brechas priorizadas.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Reuniones, documentación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semanas</w:t>
            </w:r>
          </w:p>
        </w:tc>
        <w:tc>
          <w:tcPr>
            <w:tcW w:type="dxa" w:w="1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Todo el equipo</w:t>
            </w:r>
          </w:p>
        </w:tc>
      </w:tr>
      <w:tr>
        <w:trPr>
          <w:cantSplit/>
        </w:trPr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Gestión de proyectos de software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Documentación final, demo y cierre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Actualizar documentación técnica y de usuario; preparar demo final.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Repositorio, plantillas Duoc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semanas</w:t>
            </w:r>
          </w:p>
        </w:tc>
        <w:tc>
          <w:tcPr>
            <w:tcW w:type="dxa" w:w="11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Todo el equipo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A651"/>
          <w:sz w:val="24"/>
          <w:szCs w:val="24"/>
        </w:rPr>
        <w:t xml:space="preserve">Carta Gantt (18 semanas — Fase 1: S1–S6, Fase 2: S7–S15, Fase 3: S16–S18)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tblHeader/>
        </w:trPr>
        <w:tc>
          <w:tcPr>
            <w:tcW w:type="dxa" w:w="304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S5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S6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S7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S8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S9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S10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S11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S12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S13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S14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S15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S16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S17</w:t>
            </w:r>
          </w:p>
        </w:tc>
        <w:tc>
          <w:tcPr>
            <w:tcW w:type="dxa" w:w="35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S18</w:t>
            </w:r>
          </w:p>
        </w:tc>
      </w:tr>
      <w:tr>
        <w:trPr>
          <w:cantSplit/>
        </w:trPr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Autenticación en endpoints de lectura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Versionar reglas de Firestore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Embeddings multilingües y reindexado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Corrección de la región del Scheduler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Rate limiter y caché compartidos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Ampliación de CORS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Reemplazo del pickle del vector store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Unificación del campo "rol"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Endurecimiento de agentes de scraping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Filtrado de alertas por vigencia/idioma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Cobertura de pruebas y safety scan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Pruebas funcionales end-to-end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Validación con Encipharm/Alloxentric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0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Documentación final, demo y cierre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  <w:tc>
          <w:tcPr>
            <w:tcW w:type="dxa" w:w="35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X</w:t>
            </w:r>
          </w:p>
        </w:tc>
      </w:tr>
    </w:tbl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A651"/>
          <w:sz w:val="24"/>
          <w:szCs w:val="24"/>
        </w:rPr>
        <w:t xml:space="preserve">Hitos clave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40"/>
      </w:tblGrid>
      <w:tr>
        <w:trPr>
          <w:tblHeader/>
        </w:trPr>
        <w:tc>
          <w:tcPr>
            <w:tcW w:type="dxa" w:w="120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8140"/>
            <w:shd w:fill="00A6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S2</w:t>
            </w:r>
          </w:p>
        </w:tc>
        <w:tc>
          <w:tcPr>
            <w:tcW w:type="dxa" w:w="8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Hallazgos P0 corregidos: autenticación en endpoints de lectura y reglas de Firestore versionadas.</w:t>
            </w:r>
          </w:p>
        </w:tc>
      </w:tr>
      <w:tr>
        <w:trPr>
          <w:cantSplit/>
        </w:trPr>
        <w:tc>
          <w:tcPr>
            <w:tcW w:type="dxa" w:w="1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S5</w:t>
            </w:r>
          </w:p>
        </w:tc>
        <w:tc>
          <w:tcPr>
            <w:tcW w:type="dxa" w:w="81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store en formato no ejecutable y caché/rate limiter compartidos entre instancias.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S7</w:t>
            </w:r>
          </w:p>
        </w:tc>
        <w:tc>
          <w:tcPr>
            <w:tcW w:type="dxa" w:w="8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Agentes de scraping endurecidos y alertas filtradas por vigencia e idioma.</w:t>
            </w:r>
          </w:p>
        </w:tc>
      </w:tr>
      <w:tr>
        <w:trPr>
          <w:cantSplit/>
        </w:trPr>
        <w:tc>
          <w:tcPr>
            <w:tcW w:type="dxa" w:w="120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S10</w:t>
            </w:r>
          </w:p>
        </w:tc>
        <w:tc>
          <w:tcPr>
            <w:tcW w:type="dxa" w:w="8140"/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Cobertura de pruebas ampliada y pipeline de CI/CD actualizado.</w:t>
            </w:r>
          </w:p>
        </w:tc>
      </w:tr>
      <w:tr>
        <w:trPr>
          <w:cantSplit/>
        </w:trPr>
        <w:tc>
          <w:tcPr>
            <w:tcW w:type="dxa" w:w="120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S18</w:t>
            </w:r>
          </w:p>
        </w:tc>
        <w:tc>
          <w:tcPr>
            <w:tcW w:type="dxa" w:w="8140"/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Cierre, demo final y validación de las brechas cerradas con Encipharm/Alloxentric.</w:t>
            </w:r>
          </w:p>
        </w:tc>
      </w:tr>
    </w:tbl>
    <w:p>
      <w:pPr>
        <w:pStyle w:val="Heading1"/>
        <w:pBdr>
          <w:bottom w:val="single" w:color="00A651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66B3"/>
          <w:sz w:val="30"/>
          <w:szCs w:val="30"/>
        </w:rPr>
        <w:t xml:space="preserve">10. Cierre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A651"/>
          <w:sz w:val="24"/>
          <w:szCs w:val="24"/>
        </w:rPr>
        <w:t xml:space="preserve">10.1 Próximos pasos hacia Fase 2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Iniciar de inmediato la corrección de los 3 hallazgos P0 (autenticación, firestore.rules, región del Cloud Scheduler) — ya diagnosticados y priorizados, listos para implementarse desde la semana 1.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Continuar con las correcciones P1–P2 (embeddings multilingües, vector store seguro, caché compartido, scrapers) según el plan de trabajo y la Carta Gantt.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Validar con Encipharm y Alloxentric el cierre de las brechas priorizadas, y proponer las funcionalidades de Fase 2 como mejora opcional posterior.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A651"/>
          <w:sz w:val="24"/>
          <w:szCs w:val="24"/>
        </w:rPr>
        <w:t xml:space="preserve">10.2 Espacio para preguntas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Quedamos disponibles para responder consultas de la docente y de la empresa mandante respecto al diagnóstico técnico, las brechas priorizadas y la distribución de roles presentada.</w:t>
      </w:r>
    </w:p>
    <w:p>
      <w:pPr>
        <w:pStyle w:val="Heading1"/>
        <w:pBdr>
          <w:bottom w:val="single" w:color="00A651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66B3"/>
          <w:sz w:val="30"/>
          <w:szCs w:val="30"/>
        </w:rPr>
        <w:t xml:space="preserve">11. Referencias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El presente informe se elaboró a partir de las siguientes fuentes internas del proyecto de continuidad, citadas a lo largo de los apartados anteriores: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Duoc UC. (2026). Guía de Definición de Proyecto APT — Asignatura Capstone_300D.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Pumarino, B. (2026). Diario de Reflexión Fase 1.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Sánchez, E. (2026). Diario de Reflexión Fase 1.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Ramos, F. (2026). Diario de Reflexión Fase 1.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Equipo de desarrollo saliente (cohorte anterior). (2026). Documentación técnica de cierre del MVP Enci-Intel (documento funcional, PRD, especificación de API de 22 endpoints, documento de alcance reducido del 19 de mayo de 2026).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Kreimerman, M. (Product Owner, Alloxentric) y equipo de desarrollo saliente. (9 de julio de 2026). Acta de Entrega y Conformidad del MVP Enci-Intel.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Equipo de continuidad (Benjamín Pumarino, Elías Sánchez, Felipe Ramos). (2 de septiembre de 2026). Diagnóstico técnico independiente del código fuente de Enci-Intel.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Encipharm S.A. Sistema Enci-Intel en producción. Recuperado de https://enci-intel-557520605916.us-west1.run.app/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Repositorio de código fuente Enci-Intel (GitHub) — acceso entregado formalmente junto con el Acta de Entrega y Conformidad.</w:t>
      </w:r>
    </w:p>
    <w:p>
      <w:pPr>
        <w:pStyle w:val="Heading1"/>
        <w:pBdr>
          <w:bottom w:val="single" w:color="00A651" w:sz="12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0066B3"/>
          <w:sz w:val="30"/>
          <w:szCs w:val="30"/>
        </w:rPr>
        <w:t xml:space="preserve">12. Anexos</w:t>
      </w:r>
    </w:p>
    <w:p>
      <w:pPr>
        <w:spacing w:after="160" w:line="300"/>
      </w:pPr>
      <w:r>
        <w:rPr>
          <w:rFonts w:ascii="Calibri" w:cs="Calibri" w:eastAsia="Calibri" w:hAnsi="Calibri"/>
          <w:sz w:val="21"/>
          <w:szCs w:val="21"/>
        </w:rPr>
        <w:t xml:space="preserve">Los siguientes documentos, referenciados a lo largo de este informe, están disponibles para consulta de la docente y de la empresa mandante: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Anexo A — Diarios de Reflexión Fase 1 de cada integrante (Benjamín Pumarino, Elías Sánchez, Felipe Ramos).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Anexo B — Acta de Entrega y Conformidad del MVP Enci-Intel, firmada el 9 de julio de 2026.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Anexo C — Documentación técnica de cierre de la cohorte anterior (documento funcional, PRD, especificación de API de 22 endpoints, documento de alcance reducido del 19 de mayo de 2026).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Anexo D — Guía de Definición de Proyecto APT presentada formalmente en Fase 1.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1"/>
          <w:szCs w:val="21"/>
        </w:rPr>
        <w:t xml:space="preserve">Anexo E — Diagnóstico técnico independiente del código fuente de Enci-Intel, realizado el 2 de septiembre de 2026 (27 hallazgos priorizados P0–P3, con archivo y línea de referencia).</w:t>
      </w:r>
    </w:p>
    <w:sectPr>
      <w:footerReference w:type="default" r:id="rIdFooter1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color="DDDDDD" w:sz="4" w:space="4"/>
      </w:pBdr>
      <w:jc w:val="center"/>
    </w:pPr>
    <w:r>
      <w:rPr>
        <w:rFonts w:ascii="Calibri" w:hAnsi="Calibri"/>
        <w:color w:val="808080"/>
        <w:sz w:val="18"/>
        <w:szCs w:val="18"/>
      </w:rPr>
      <w:t xml:space="preserve">ENCI-INTEL — Informe de Proyecto Fase 1 • página </w:t>
    </w:r>
    <w:r>
      <w:rPr>
        <w:rFonts w:ascii="Calibri" w:hAnsi="Calibri"/>
        <w:color w:val="808080"/>
        <w:sz w:val="18"/>
        <w:szCs w:val="18"/>
      </w:rPr>
      <w:fldChar w:fldCharType="begin"/>
    </w:r>
    <w:r>
      <w:rPr>
        <w:rFonts w:ascii="Calibri" w:hAnsi="Calibri"/>
        <w:color w:val="808080"/>
        <w:sz w:val="18"/>
        <w:szCs w:val="18"/>
      </w:rPr>
      <w:instrText xml:space="preserve"> PAGE </w:instrText>
    </w:r>
    <w:r>
      <w:rPr>
        <w:rFonts w:ascii="Calibri" w:hAnsi="Calibri"/>
        <w:color w:val="808080"/>
        <w:sz w:val="18"/>
        <w:szCs w:val="18"/>
      </w:rPr>
      <w:fldChar w:fldCharType="separate"/>
    </w:r>
    <w:r>
      <w:rPr>
        <w:rFonts w:ascii="Calibri" w:hAnsi="Calibri"/>
        <w:color w:val="808080"/>
        <w:sz w:val="18"/>
        <w:szCs w:val="18"/>
      </w:rPr>
      <w:t>1</w:t>
    </w:r>
    <w:r>
      <w:rPr>
        <w:rFonts w:ascii="Calibri" w:hAnsi="Calibri"/>
        <w:color w:val="808080"/>
        <w:sz w:val="18"/>
        <w:szCs w:val="18"/>
      </w:rPr>
      <w:fldChar w:fldCharType="end"/>
    </w:r>
    <w:r>
      <w:rPr>
        <w:rFonts w:ascii="Calibri" w:hAnsi="Calibri"/>
        <w:color w:val="808080"/>
        <w:sz w:val="18"/>
        <w:szCs w:val="18"/>
      </w:rPr>
      <w:t xml:space="preserve"> de </w:t>
    </w:r>
    <w:r>
      <w:rPr>
        <w:rFonts w:ascii="Calibri" w:hAnsi="Calibri"/>
        <w:color w:val="808080"/>
        <w:sz w:val="18"/>
        <w:szCs w:val="18"/>
      </w:rPr>
      <w:fldChar w:fldCharType="begin"/>
    </w:r>
    <w:r>
      <w:rPr>
        <w:rFonts w:ascii="Calibri" w:hAnsi="Calibri"/>
        <w:color w:val="808080"/>
        <w:sz w:val="18"/>
        <w:szCs w:val="18"/>
      </w:rPr>
      <w:instrText xml:space="preserve"> NUMPAGES </w:instrText>
    </w:r>
    <w:r>
      <w:rPr>
        <w:rFonts w:ascii="Calibri" w:hAnsi="Calibri"/>
        <w:color w:val="808080"/>
        <w:sz w:val="18"/>
        <w:szCs w:val="18"/>
      </w:rPr>
      <w:fldChar w:fldCharType="separate"/>
    </w:r>
    <w:r>
      <w:rPr>
        <w:rFonts w:ascii="Calibri" w:hAnsi="Calibri"/>
        <w:color w:val="808080"/>
        <w:sz w:val="18"/>
        <w:szCs w:val="18"/>
      </w:rPr>
      <w:t>1</w:t>
    </w:r>
    <w:r>
      <w:rPr>
        <w:rFonts w:ascii="Calibri" w:hAnsi="Calibri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2026-09-02T13:48:59.580Z</dcterms:created>
  <dcterms:modified xsi:type="dcterms:W3CDTF">2026-09-02T13:48:59.590Z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