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3000" w:after="0"/>
      </w:pPr>
      <w:r>
        <w:rPr>
          <w:b/>
          <w:color w:val="000000"/>
          <w:sz w:val="20"/>
        </w:rPr>
      </w:r>
    </w:p>
    <w:p>
      <w:pPr>
        <w:spacing w:before="0" w:after="120"/>
      </w:pPr>
      <w:r>
        <w:rPr>
          <w:b/>
          <w:color w:val="003F6C"/>
          <w:sz w:val="68"/>
        </w:rPr>
        <w:t>Registro de Stakeholders</w:t>
      </w:r>
    </w:p>
    <w:p>
      <w:pPr>
        <w:spacing w:before="0" w:after="3000"/>
      </w:pPr>
      <w:r>
        <w:rPr>
          <w:b w:val="0"/>
          <w:color w:val="595959"/>
          <w:sz w:val="28"/>
        </w:rPr>
        <w:t>StockIN — App móvil de control de inventario para micro emprendimientos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670"/>
        <w:tblGridChange w:id="0">
          <w:tblGrid>
            <w:gridCol w:w="3119"/>
            <w:gridCol w:w="5751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Integrantes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 y Felipe Valenzuela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Docente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Cindy Betzabe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Asignatura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Portafolio de Título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Fecha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16-10-2026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Versión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1.1 — corregida según la retroalimentación de la docente</w:t>
            </w:r>
          </w:p>
        </w:tc>
      </w:tr>
    </w:tbl>
    <w:p>
      <w:r>
        <w:br w:type="page"/>
      </w:r>
    </w:p>
    <w:p w:rsidR="00000000" w:rsidDel="00000000" w:rsidP="00000000" w:rsidRDefault="00000000" w:rsidRPr="00000000">
      <w:pPr>
        <w:spacing w:after="0" w:line="240" w:lineRule="auto"/>
        <w:ind w:left="-2" w:firstLine="0"/>
        <w:jc w:val="left"/>
        <w:rPr>
          <w:b w:val="1"/>
          <w:color w:val="003f6c"/>
          <w:sz w:val="48"/>
          <w:szCs w:val="48"/>
        </w:rPr>
      </w:pPr>
      <w:r w:rsidDel="00000000" w:rsidR="00000000" w:rsidRPr="00000000">
        <w:rPr>
          <w:b w:val="1"/>
          <w:color w:val="003f6c"/>
          <w:sz w:val="48"/>
          <w:szCs w:val="48"/>
          <w:rtl w:val="0"/>
        </w:rPr>
        <w:t>Registro de Stakeholders</w:t>
      </w:r>
    </w:p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Información del proyecto</w:t>
      </w:r>
    </w:p>
    <w:p w:rsidR="00000000" w:rsidDel="00000000" w:rsidP="00000000" w:rsidRDefault="00000000" w:rsidRPr="00000000">
      <w:pPr>
        <w:pStyle w:val="Heading2"/>
        <w:keepNext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StockIN — App móvil de control de inventario para micro emprendimientos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05-10-2026 (versión 1.1, revisada el 16-10-2026)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Marcela Rojas Fuentes (Presidenta de AGEFE)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Micro emprendedores formales que venden en malls, eventos y ferias de anime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 (Jefe de proyecto y desarrollador)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Lista de interesados (stakeholders)</w:t>
      </w:r>
    </w:p>
    <w:tbl>
      <w:tblPr>
        <w:tblStyle w:val="Table8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700"/>
        <w:gridCol w:w="2570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Cargo o rol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Organización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Marcela Rojas Fuentes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Patrocinador: presidenta de AGEFE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AGEFE (entidad ficticia)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Cindy Betzabe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Docente guía: supervisa y evalúa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Duoc UC — Portafolio de Título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Equipo de desarrollo: jefe de proyecto; arquitectura, base de datos y backend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Equipo StockIN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Felipe Valenzuela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Equipo de desarrollo: diseño de interfaz, ventas y dashboard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Equipo StockIN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Micro emprendedores formales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Clientes y usuarios: validan la app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Vendedores en malls, eventos y ferias de anime</w:t>
            </w:r>
          </w:p>
        </w:tc>
      </w:tr>
    </w:tbl>
    <w:p>
      <w:pPr>
        <w:spacing w:before="120"/>
      </w:pPr>
      <w:r>
        <w:rPr>
          <w:sz w:val="18"/>
        </w:rPr>
        <w:t>Correspondencia con el Mapa de Actores: los 5 interesados se agrupan en 4 actores. Patrocinador (Marcela Rojas Fuentes), Docente guía (Cindy Betzabe), Equipo de desarrollo (Juan Godoy y Felipe Valenzuela) y Clientes y usuarios (micro emprendedores formales).</w:t>
      </w:r>
    </w:p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Análisis de interés e influencia</w:t>
      </w:r>
    </w:p>
    <w:tbl>
      <w:tblPr>
        <w:tblStyle w:val="Table8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700"/>
        <w:gridCol w:w="2570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Interesado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Interés e influencia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Cuadrante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Marcela Rojas Fuentes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Interés: media · Influencia: alta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Mantener satisfecho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Cindy Betzabe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Interés: alto · Influencia: alta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Gestionar de cerca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Interés: alto · Influencia: alta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Gestionar de cerca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Felipe Valenzuela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Interés: alto · Influencia: alta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Gestionar de cerca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Micro emprendedores formales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Interés: alto · Influencia: media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Mantener informado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pageBreakBefore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Expectativas y estrategia de involucramiento</w:t>
      </w:r>
    </w:p>
    <w:tbl>
      <w:tblPr>
        <w:tblStyle w:val="Table8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00"/>
        <w:gridCol w:w="3270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Interesado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Expectativas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Estrategia de involucramiento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Marcela Rojas Fuentes (sponsor)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Que el presupuesto aportado se use según lo planificado.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Que la app beneficie a los socios de la asociación.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Revisión del avance y del gasto al cierre de cada etapa.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Acceso a socios para validar el prototipo.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Cindy Betzabe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Cumplimiento de la metodología Kanban aprobada.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Avances demostrables al cierre de cada etapa.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Documentación coherente con el software desarrollado.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Calidad del informe y de la aplicación final.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Presentación de avances por etapa.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Aprobación previa de cambios de alcance y de metodología (la docente no financia ni desarrolla; el presupuesto lo aprueba el patrocinador).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Cumplir los objetivos técnicos definidos.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Aplicar competencias de desarrollo de software.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Sincronización 2-3 veces por semana mediante el tablero Kanban (Jira).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Coordinación directa con Felipe Valenzuela.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Felipe Valenzuela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Cumplir los objetivos técnicos definidos.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Aplicar competencias de diseño y análisis de datos.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Sincronización 2-3 veces por semana mediante el tablero Kanban (Jira).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Coordinación directa con Juan Godoy.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Micro emprendedores formales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Una app simple que resuelva el control de stock y ganancias.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Que funcione sin conexión durante la venta.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Encuestas y pruebas de usabilidad.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Feedback incorporado al backlog Kanban.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pageBreakBefore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Matriz interés – influencia</w:t>
      </w:r>
    </w:p>
    <w:tbl>
      <w:tblPr>
        <w:tblStyle w:val="Table4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5"/>
        <w:gridCol w:w="4435"/>
        <w:tblGridChange w:id="0">
          <w:tblGrid>
            <w:gridCol w:w="5812"/>
            <w:gridCol w:w="3058"/>
          </w:tblGrid>
        </w:tblGridChange>
      </w:tblGrid>
      <w:tr>
        <w:trPr>
          <w:cantSplit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Interés alto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Interés medio o bajo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Influencia alta: gestionar de cerca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Cindy Betzabe, Juan Godoy y Felipe Valenzuela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>Influencia alta: mantener satisfecho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Marcela Rojas Fuentes (sponsor)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Influencia media o baja: mantener informado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Micro emprendedores formales (clientes)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>Influencia media o baja: monitorear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Sin interesados identificados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Lectura de la matriz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Gestionar de cerca: </w:t>
            </w:r>
            <w:r w:rsidDel="00000000" w:rsidR="00000000" w:rsidRPr="00000000">
              <w:rPr>
                <w:rtl w:val="0"/>
              </w:rPr>
              <w:t>la docente y ambos integrantes del equipo deciden y validan el rumbo del proyecto, por lo que requieren comunicación constante y directa.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Mantener satisfecho: </w:t>
            </w:r>
            <w:r w:rsidDel="00000000" w:rsidR="00000000" w:rsidRPr="00000000">
              <w:rPr>
                <w:rtl w:val="0"/>
              </w:rPr>
              <w:t>el sponsor no interviene en las decisiones técnicas, pero financia el proyecto, así que se le informa del avance y del gasto al cierre de cada etapa.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Mantener informado: </w:t>
            </w:r>
            <w:r w:rsidDel="00000000" w:rsidR="00000000" w:rsidRPr="00000000">
              <w:rPr>
                <w:rtl w:val="0"/>
              </w:rPr>
              <w:t>los clientes (micro emprendedores formales) no deciden el alcance, pero su validación confirma que la solución resuelve un problema real. Se gestionan con encuestas y pruebas de usabilidad.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Monitorear: </w:t>
            </w:r>
            <w:r w:rsidDel="00000000" w:rsidR="00000000" w:rsidRPr="00000000">
              <w:rPr>
                <w:rtl w:val="0"/>
              </w:rPr>
              <w:t>no se identificaron interesados en este cuadrante, dado el tamaño acotado del equipo y del proyecto.</w:t>
            </w:r>
          </w:p>
        </w:tc>
      </w:tr>
    </w:tbl>
    <w:sectPr>
      <w:headerReference r:id="rId8" w:type="default"/>
      <w:footerReference r:id="rId9" w:type="default"/>
      <w:pgSz w:h="15840" w:w="12240" w:orient="portrait"/>
      <w:pgMar w:bottom="1418" w:top="1440" w:left="1701" w:right="1701" w:header="709" w:footer="709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left"/>
      <w:rPr>
        <w:color w:val="365f91"/>
      </w:rPr>
    </w:pPr>
    <w:r>
      <w:drawing>
        <wp:inline>
          <wp:extent cx="1624977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du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4977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A3Z/IYJo6NK3KW45T4fLjs1fRQ==">CgMxLjAaHQoBMBIYChYIB0ISEhBBcmlhbCBVbmljb2RlIE1TGh0KATESGAoWCAdCEhIQQXJpYWwgVW5pY29kZSBNUxodCgEyEhgKFggHQhISEEFyaWFsIFVuaWNvZGUgTVMyDmguamxocDV3ODA2NXkxMgloLjMwajB6bGwyCWguMWZvYjl0ZTIJaC4zem55c2g3Mg5oLmlyNm9tdDE4M2kyajIOaC51Mnhud2lyM290dHoyDmgueGwyYmt5eWlsOTI4MgloLjNkeTZ2a20yCWguMXQzaDVzZjIJaC4yczhleW8xMg5oLnNvenh3bGlmdWV3ZTIOaC5sODl0amQyd2gyeWMyDmguOW5iczE4aGU0czNyMg5oLmh0dTEyNDN6ZHJ1NDIOaC4xeGY5YnBzMGtwcTAyDmguOGRlMmdwZnA5aHFqMg5oLjkzbDZrbDd3ZDZvMjIJaC4xN2RwOHZ1Mg5oLnAwdjV5eHRtMTg4YTgAciExc1dsbHFINlJ0QjBXd1NnODlzTnYxeHM1amFGR3JzT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