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4800"/>
        <w:gridCol w:w="5200"/>
        <w:gridCol w:w="3800"/>
      </w:tblGrid>
      <w:tr w:rsidR="4B3F64AE" w:rsidTr="2951D13C" w14:paraId="3BA7D195" w14:textId="77777777">
        <w:trPr>
          <w:trHeight w:val="390"/>
        </w:trPr>
        <w:tc>
          <w:tcPr>
            <w:tcW w:w="4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52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c>
          <w:tcPr>
            <w:tcW w:w="3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¿Está presente en mi propuesta?</w:t>
            </w:r>
          </w:p>
        </w:tc>
      </w:tr>
      <w:tr w:rsidR="4B3F64AE" w:rsidTr="2951D13C" w14:paraId="5E7B805A" w14:textId="77777777">
        <w:trPr>
          <w:trHeight w:val="615"/>
        </w:trPr>
        <w:tc>
          <w:tcPr>
            <w:tcW w:w="480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52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c>
          <w:tcPr>
            <w:tcW w:w="3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0B4"/>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Pr>
                <w:rFonts w:ascii="Calibri" w:hAnsi="Calibri"/>
                <w:color w:val="000000"/>
                <w:sz w:val="20"/>
              </w:rPr>
              <w:t>Sí: protocolo en tres equipos Android con datos y métricas.</w:t>
            </w:r>
          </w:p>
        </w:tc>
      </w:tr>
      <w:tr w:rsidR="4B3F64AE" w:rsidTr="2951D13C" w14:paraId="70BE4C2A" w14:textId="77777777">
        <w:trPr>
          <w:trHeight w:val="630"/>
        </w:trPr>
        <w:tc>
          <w:tcPr>
            <w:tcW w:w="4800" w:type="dxa"/>
            <w:vMerge/>
            <w:tcMar/>
            <w:vAlign w:val="center"/>
          </w:tcPr>
          <w:p w:rsidR="003E4672" w:rsidRDefault="003E4672" w14:paraId="1C6F3851" w14:textId="77777777"/>
        </w:tc>
        <w:tc>
          <w:tcPr>
            <w:tcW w:w="52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c>
          <w:tcPr>
            <w:tcW w:w="3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DEDED"/>
          </w:tcPr>
          <w:p w:rsidR="4B3F64AE" w:rsidP="1DE770DF" w:rsidRDefault="5E2975C8" w14:paraId="46DEB7D6" w14:textId="777522FB">
            <w:pPr>
              <w:jc w:val="both"/>
              <w:rPr>
                <w:rFonts w:asciiTheme="minorHAnsi" w:hAnsiTheme="minorHAnsi" w:eastAsiaTheme="minorEastAsia" w:cstheme="minorBidi"/>
                <w:color w:val="000000" w:themeColor="text1"/>
              </w:rPr>
            </w:pPr>
            <w:r>
              <w:rPr>
                <w:rFonts w:ascii="Calibri" w:hAnsi="Calibri"/>
                <w:color w:val="000000"/>
                <w:sz w:val="20"/>
              </w:rPr>
              <w:t>No aplica en la Fase 1: se aplicará en el desarrollo.</w:t>
            </w:r>
          </w:p>
        </w:tc>
      </w:tr>
      <w:tr w:rsidR="4B3F64AE" w:rsidTr="2951D13C" w14:paraId="1334AC90" w14:textId="77777777">
        <w:trPr>
          <w:trHeight w:val="450"/>
        </w:trPr>
        <w:tc>
          <w:tcPr>
            <w:tcW w:w="4800" w:type="dxa"/>
            <w:vMerge/>
            <w:tcMar/>
            <w:vAlign w:val="center"/>
          </w:tcPr>
          <w:p w:rsidR="003E4672" w:rsidRDefault="003E4672" w14:paraId="346FB495" w14:textId="77777777"/>
        </w:tc>
        <w:tc>
          <w:tcPr>
            <w:tcW w:w="52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c>
          <w:tcPr>
            <w:tcW w:w="3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DEDED"/>
          </w:tcPr>
          <w:p w:rsidR="4B3F64AE" w:rsidP="1DE770DF" w:rsidRDefault="5E2975C8" w14:paraId="691E7DEF" w14:textId="7C63150E">
            <w:pPr>
              <w:jc w:val="both"/>
              <w:rPr>
                <w:rFonts w:asciiTheme="minorHAnsi" w:hAnsiTheme="minorHAnsi" w:eastAsiaTheme="minorEastAsia" w:cstheme="minorBidi"/>
                <w:color w:val="000000" w:themeColor="text1"/>
              </w:rPr>
            </w:pPr>
            <w:r>
              <w:rPr>
                <w:rFonts w:ascii="Calibri" w:hAnsi="Calibri"/>
                <w:color w:val="000000"/>
                <w:sz w:val="20"/>
              </w:rPr>
              <w:t>No aplica en la Fase 1: depende de las pruebas.</w:t>
            </w:r>
          </w:p>
        </w:tc>
      </w:tr>
      <w:tr w:rsidR="4B3F64AE" w:rsidTr="2951D13C" w14:paraId="4D677709" w14:textId="77777777">
        <w:trPr>
          <w:trHeight w:val="645"/>
        </w:trPr>
        <w:tc>
          <w:tcPr>
            <w:tcW w:w="480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52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c>
          <w:tcPr>
            <w:tcW w:w="3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0B4"/>
          </w:tcPr>
          <w:p w:rsidR="4B3F64AE" w:rsidP="1DE770DF" w:rsidRDefault="5E2975C8" w14:paraId="44B9FCA8" w14:textId="457EFD1D">
            <w:pPr>
              <w:jc w:val="both"/>
              <w:rPr>
                <w:rFonts w:asciiTheme="minorHAnsi" w:hAnsiTheme="minorHAnsi" w:eastAsiaTheme="minorEastAsia" w:cstheme="minorBidi"/>
                <w:color w:val="000000" w:themeColor="text1"/>
              </w:rPr>
            </w:pPr>
            <w:r>
              <w:rPr>
                <w:rFonts w:ascii="Calibri" w:hAnsi="Calibri"/>
                <w:color w:val="000000"/>
                <w:sz w:val="20"/>
              </w:rPr>
              <w:t>Sí: plan de trabajo, Gantt, recursos y metodología.</w:t>
            </w:r>
          </w:p>
        </w:tc>
      </w:tr>
      <w:tr w:rsidR="4B3F64AE" w:rsidTr="2951D13C" w14:paraId="77DEF153" w14:textId="77777777">
        <w:trPr>
          <w:trHeight w:val="690"/>
        </w:trPr>
        <w:tc>
          <w:tcPr>
            <w:tcW w:w="4800" w:type="dxa"/>
            <w:vMerge/>
            <w:tcMar/>
            <w:vAlign w:val="center"/>
          </w:tcPr>
          <w:p w:rsidR="003E4672" w:rsidRDefault="003E4672" w14:paraId="26763DD0" w14:textId="77777777"/>
        </w:tc>
        <w:tc>
          <w:tcPr>
            <w:tcW w:w="52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c>
          <w:tcPr>
            <w:tcW w:w="3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0B4"/>
          </w:tcPr>
          <w:p w:rsidR="4B3F64AE" w:rsidP="1DE770DF" w:rsidRDefault="5E2975C8" w14:paraId="5A527659" w14:textId="63C70802">
            <w:pPr>
              <w:jc w:val="both"/>
              <w:rPr>
                <w:rFonts w:asciiTheme="minorHAnsi" w:hAnsiTheme="minorHAnsi" w:eastAsiaTheme="minorEastAsia" w:cstheme="minorBidi"/>
                <w:color w:val="000000" w:themeColor="text1"/>
              </w:rPr>
            </w:pPr>
            <w:r>
              <w:rPr>
                <w:rFonts w:ascii="Calibri" w:hAnsi="Calibri"/>
                <w:color w:val="000000"/>
                <w:sz w:val="20"/>
              </w:rPr>
              <w:t>Sí: Kanban con límite de tareas en curso, sincronizaciones y tiempo de ciclo.</w:t>
            </w:r>
          </w:p>
        </w:tc>
      </w:tr>
      <w:tr w:rsidR="4B3F64AE" w:rsidTr="2951D13C" w14:paraId="65D886BE" w14:textId="77777777">
        <w:trPr>
          <w:trHeight w:val="660"/>
        </w:trPr>
        <w:tc>
          <w:tcPr>
            <w:tcW w:w="480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52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c>
          <w:tcPr>
            <w:tcW w:w="3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0B4"/>
          </w:tcPr>
          <w:p w:rsidR="4B3F64AE" w:rsidP="1DE770DF" w:rsidRDefault="5E2975C8" w14:paraId="57331988" w14:textId="510CA3B1">
            <w:pPr>
              <w:jc w:val="both"/>
              <w:rPr>
                <w:rFonts w:asciiTheme="minorHAnsi" w:hAnsiTheme="minorHAnsi" w:eastAsiaTheme="minorEastAsia" w:cstheme="minorBidi"/>
                <w:color w:val="000000" w:themeColor="text1"/>
              </w:rPr>
            </w:pPr>
            <w:r>
              <w:rPr>
                <w:rFonts w:ascii="Calibri" w:hAnsi="Calibri"/>
                <w:color w:val="000000"/>
                <w:sz w:val="20"/>
              </w:rPr>
              <w:t>Sí: se define el modelo de datos SQLite y su relación con los objetivos.</w:t>
            </w:r>
          </w:p>
        </w:tc>
      </w:tr>
      <w:tr w:rsidR="4B3F64AE" w:rsidTr="2951D13C" w14:paraId="55446B8E" w14:textId="77777777">
        <w:trPr>
          <w:trHeight w:val="630"/>
        </w:trPr>
        <w:tc>
          <w:tcPr>
            <w:tcW w:w="4800" w:type="dxa"/>
            <w:vMerge/>
            <w:tcMar/>
            <w:vAlign w:val="center"/>
          </w:tcPr>
          <w:p w:rsidR="003E4672" w:rsidRDefault="003E4672" w14:paraId="0452AC9E" w14:textId="77777777"/>
        </w:tc>
        <w:tc>
          <w:tcPr>
            <w:tcW w:w="52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c>
          <w:tcPr>
            <w:tcW w:w="3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DEDED"/>
          </w:tcPr>
          <w:p w:rsidR="4B3F64AE" w:rsidP="1DE770DF" w:rsidRDefault="5E2975C8" w14:paraId="580D6DD4" w14:textId="7F6E70BA">
            <w:pPr>
              <w:jc w:val="both"/>
              <w:rPr>
                <w:rFonts w:asciiTheme="minorHAnsi" w:hAnsiTheme="minorHAnsi" w:eastAsiaTheme="minorEastAsia" w:cstheme="minorBidi"/>
                <w:color w:val="000000" w:themeColor="text1"/>
              </w:rPr>
            </w:pPr>
            <w:r>
              <w:rPr>
                <w:rFonts w:ascii="Calibri" w:hAnsi="Calibri"/>
                <w:color w:val="000000"/>
                <w:sz w:val="20"/>
              </w:rPr>
              <w:t>No aplica en la Fase 1: se implementa en el desarrollo.</w:t>
            </w:r>
          </w:p>
        </w:tc>
      </w:tr>
      <w:tr w:rsidR="4B3F64AE" w:rsidTr="2951D13C" w14:paraId="3EDA2A1D" w14:textId="77777777">
        <w:trPr>
          <w:trHeight w:val="825"/>
        </w:trPr>
        <w:tc>
          <w:tcPr>
            <w:tcW w:w="480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52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c>
          <w:tcPr>
            <w:tcW w:w="3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0B4"/>
          </w:tcPr>
          <w:p w:rsidR="4B3F64AE" w:rsidP="1DE770DF" w:rsidRDefault="5E2975C8" w14:paraId="32A5D98C" w14:textId="2792B615">
            <w:pPr>
              <w:jc w:val="both"/>
              <w:rPr>
                <w:rFonts w:asciiTheme="minorHAnsi" w:hAnsiTheme="minorHAnsi" w:eastAsiaTheme="minorEastAsia" w:cstheme="minorBidi"/>
                <w:color w:val="000000" w:themeColor="text1"/>
              </w:rPr>
            </w:pPr>
            <w:r>
              <w:rPr>
                <w:rFonts w:ascii="Calibri" w:hAnsi="Calibri"/>
                <w:color w:val="000000"/>
                <w:sz w:val="20"/>
              </w:rPr>
              <w:t>Sí: módulos de inventario, ventas y dashboard con responsables.</w:t>
            </w:r>
          </w:p>
        </w:tc>
      </w:tr>
      <w:tr w:rsidR="4B3F64AE" w:rsidTr="2951D13C" w14:paraId="34C86FBF" w14:textId="77777777">
        <w:trPr>
          <w:trHeight w:val="825"/>
        </w:trPr>
        <w:tc>
          <w:tcPr>
            <w:tcW w:w="4800" w:type="dxa"/>
            <w:vMerge/>
            <w:tcMar/>
            <w:vAlign w:val="center"/>
          </w:tcPr>
          <w:p w:rsidR="003E4672" w:rsidRDefault="003E4672" w14:paraId="0873566A" w14:textId="77777777"/>
        </w:tc>
        <w:tc>
          <w:tcPr>
            <w:tcW w:w="52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c>
          <w:tcPr>
            <w:tcW w:w="3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0B4"/>
          </w:tcPr>
          <w:p w:rsidR="4B3F64AE" w:rsidP="1DE770DF" w:rsidRDefault="5E2975C8" w14:paraId="66EB6CB4" w14:textId="48E9983A">
            <w:pPr>
              <w:jc w:val="both"/>
              <w:rPr>
                <w:rFonts w:asciiTheme="minorHAnsi" w:hAnsiTheme="minorHAnsi" w:eastAsiaTheme="minorEastAsia" w:cstheme="minorBidi"/>
                <w:color w:val="000000" w:themeColor="text1"/>
              </w:rPr>
            </w:pPr>
            <w:r>
              <w:rPr>
                <w:rFonts w:ascii="Calibri" w:hAnsi="Calibri"/>
                <w:color w:val="000000"/>
                <w:sz w:val="20"/>
              </w:rPr>
              <w:t>Sí (diseño): tres capas conectadas por servicios; Maps y Excel se prueban al cierre.</w:t>
            </w:r>
          </w:p>
        </w:tc>
      </w:tr>
      <w:tr w:rsidR="4B3F64AE" w:rsidTr="2951D13C" w14:paraId="297DC047" w14:textId="77777777">
        <w:trPr>
          <w:trHeight w:val="870"/>
        </w:trPr>
        <w:tc>
          <w:tcPr>
            <w:tcW w:w="4800" w:type="dxa"/>
            <w:vMerge/>
            <w:tcMar/>
            <w:vAlign w:val="center"/>
          </w:tcPr>
          <w:p w:rsidR="003E4672" w:rsidRDefault="003E4672" w14:paraId="085B055D" w14:textId="77777777"/>
        </w:tc>
        <w:tc>
          <w:tcPr>
            <w:tcW w:w="52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c>
          <w:tcPr>
            <w:tcW w:w="38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EDEDED"/>
          </w:tcPr>
          <w:p w:rsidR="4B3F64AE" w:rsidP="1DE770DF" w:rsidRDefault="5E2975C8" w14:paraId="12C39655" w14:textId="17B193A6">
            <w:pPr>
              <w:jc w:val="both"/>
              <w:rPr>
                <w:rFonts w:asciiTheme="minorHAnsi" w:hAnsiTheme="minorHAnsi" w:eastAsiaTheme="minorEastAsia" w:cstheme="minorBidi"/>
                <w:color w:val="000000" w:themeColor="text1"/>
              </w:rPr>
            </w:pPr>
            <w:r>
              <w:rPr>
                <w:rFonts w:ascii="Calibri" w:hAnsi="Calibri"/>
                <w:color w:val="000000"/>
                <w:sz w:val="20"/>
              </w:rPr>
              <w:t>No aplica en la Fase 1: se implanta en el cierre.</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0B4"/>
          </w:tcPr>
          <w:p w:rsidRPr="00A86516" w:rsidR="001C0F79" w:rsidP="1DE770DF" w:rsidRDefault="1EFB355F" w14:paraId="156D9FC3" w14:textId="5D13CA93">
            <w:pPr>
              <w:jc w:val="left"/>
              <w:rPr>
                <w:rFonts w:asciiTheme="minorHAnsi" w:hAnsiTheme="minorHAnsi" w:eastAsiaTheme="minorEastAsia" w:cstheme="minorBidi"/>
                <w:color w:val="000000" w:themeColor="text1"/>
                <w:lang w:eastAsia="es-CL"/>
              </w:rPr>
            </w:pPr>
            <w:r>
              <w:rPr>
                <w:b/>
                <w:color w:val="1E6B2E"/>
                <w:sz w:val="18"/>
              </w:rPr>
              <w:t>☒ Nivel seleccionado</w:t>
            </w:r>
          </w:p>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C6E0B4"/>
          </w:tcPr>
          <w:p w:rsidRPr="00A86516" w:rsidR="001C0F79" w:rsidP="7FCC6260" w:rsidRDefault="76DC36E0" w14:paraId="6E094A27" w14:textId="0B7B6DCA">
            <w:pPr>
              <w:jc w:val="left"/>
              <w:rPr>
                <w:rFonts w:asciiTheme="minorHAnsi" w:hAnsiTheme="minorHAnsi" w:eastAsiaTheme="minorEastAsia" w:cstheme="minorBidi"/>
                <w:color w:val="000000" w:themeColor="text1"/>
                <w:lang w:eastAsia="es-CL"/>
              </w:rPr>
            </w:pPr>
            <w:r>
              <w:rPr>
                <w:b/>
                <w:color w:val="1E6B2E"/>
                <w:sz w:val="18"/>
              </w:rPr>
              <w:t>☒ Nivel seleccionado</w:t>
            </w:r>
          </w:p>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shd w:val="clear" w:color="auto" w:fill="C6E0B4"/>
          </w:tcPr>
          <w:p w:rsidRPr="00A86516" w:rsidR="001C0F79" w:rsidP="1DE770DF" w:rsidRDefault="0EF6C9B4" w14:paraId="2EE689A4" w14:textId="215B6430">
            <w:pPr>
              <w:jc w:val="left"/>
              <w:rPr>
                <w:rFonts w:asciiTheme="minorHAnsi" w:hAnsiTheme="minorHAnsi" w:eastAsiaTheme="minorEastAsia" w:cstheme="minorBidi"/>
                <w:color w:val="000000" w:themeColor="text1"/>
                <w:lang w:eastAsia="es-CL"/>
              </w:rPr>
            </w:pPr>
            <w:r>
              <w:rPr>
                <w:b/>
                <w:color w:val="1E6B2E"/>
                <w:sz w:val="18"/>
              </w:rPr>
              <w:t>☒ Nivel seleccionado</w:t>
            </w:r>
          </w:p>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C6E0B4"/>
          </w:tcPr>
          <w:p w:rsidRPr="00A86516" w:rsidR="001C0F79" w:rsidP="1DE770DF" w:rsidRDefault="1EFB355F" w14:paraId="76696DCF" w14:textId="58806ADE">
            <w:pPr>
              <w:jc w:val="left"/>
              <w:rPr>
                <w:rFonts w:asciiTheme="minorHAnsi" w:hAnsiTheme="minorHAnsi" w:eastAsiaTheme="minorEastAsia" w:cstheme="minorBidi"/>
                <w:color w:val="000000" w:themeColor="text1"/>
                <w:lang w:eastAsia="es-CL"/>
              </w:rPr>
            </w:pPr>
            <w:r>
              <w:rPr>
                <w:b/>
                <w:color w:val="1E6B2E"/>
                <w:sz w:val="18"/>
              </w:rPr>
              <w:t>☒ Nivel seleccionado</w:t>
            </w:r>
          </w:p>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C6E0B4"/>
          </w:tcPr>
          <w:p w:rsidRPr="00A86516" w:rsidR="001C0F79" w:rsidP="1DE770DF" w:rsidRDefault="1EFB355F" w14:paraId="76B04757" w14:textId="2D59F033">
            <w:pPr>
              <w:jc w:val="left"/>
              <w:rPr>
                <w:rFonts w:asciiTheme="minorHAnsi" w:hAnsiTheme="minorHAnsi" w:eastAsiaTheme="minorEastAsia" w:cstheme="minorBidi"/>
                <w:color w:val="000000" w:themeColor="text1"/>
                <w:lang w:eastAsia="es-CL"/>
              </w:rPr>
            </w:pPr>
            <w:r>
              <w:rPr>
                <w:b/>
                <w:color w:val="1E6B2E"/>
                <w:sz w:val="18"/>
              </w:rPr>
              <w:t>☒ Nivel seleccionado</w:t>
            </w:r>
          </w:p>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C6E0B4"/>
          </w:tcPr>
          <w:p w:rsidRPr="00A86516" w:rsidR="001C0F79" w:rsidP="1DE770DF" w:rsidRDefault="1EFB355F" w14:paraId="4BC941F4" w14:textId="3C39338B">
            <w:pPr>
              <w:jc w:val="left"/>
              <w:rPr>
                <w:rFonts w:asciiTheme="minorHAnsi" w:hAnsiTheme="minorHAnsi" w:eastAsiaTheme="minorEastAsia" w:cstheme="minorBidi"/>
                <w:color w:val="000000" w:themeColor="text1"/>
                <w:lang w:eastAsia="es-CL"/>
              </w:rPr>
            </w:pPr>
            <w:r>
              <w:rPr>
                <w:b/>
                <w:color w:val="1E6B2E"/>
                <w:sz w:val="18"/>
              </w:rPr>
              <w:t>☒ Nivel seleccionado</w:t>
            </w:r>
          </w:p>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sidRPr="00A86516" w:rsidR="001C0F79" w:rsidP="1DE770DF" w:rsidRDefault="1EFB355F" w14:paraId="68C5EC73" w14:textId="1DAA241F">
            <w:pPr>
              <w:jc w:val="left"/>
              <w:rPr>
                <w:rFonts w:asciiTheme="minorHAnsi" w:hAnsiTheme="minorHAnsi" w:eastAsiaTheme="minorEastAsia" w:cstheme="minorBidi"/>
                <w:color w:val="000000" w:themeColor="text1"/>
                <w:lang w:eastAsia="es-CL"/>
              </w:rPr>
            </w:pPr>
            <w:r>
              <w:rPr>
                <w:b/>
                <w:color w:val="1E6B2E"/>
                <w:sz w:val="18"/>
              </w:rPr>
              <w:t>☒ Nivel seleccionado</w:t>
            </w:r>
          </w:p>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C6E0B4"/>
          </w:tcPr>
          <w:p w:rsidRPr="00A86516" w:rsidR="001C0F79" w:rsidP="1DE770DF" w:rsidRDefault="1EFB355F" w14:paraId="7AD94596" w14:textId="167B3716">
            <w:pPr>
              <w:jc w:val="left"/>
              <w:rPr>
                <w:rFonts w:asciiTheme="minorHAnsi" w:hAnsiTheme="minorHAnsi" w:eastAsiaTheme="minorEastAsia" w:cstheme="minorBidi"/>
                <w:color w:val="000000" w:themeColor="text1"/>
                <w:lang w:eastAsia="es-CL"/>
              </w:rPr>
            </w:pPr>
            <w:r>
              <w:rPr>
                <w:b/>
                <w:color w:val="1E6B2E"/>
                <w:sz w:val="18"/>
              </w:rPr>
              <w:t>☒ Nivel seleccionado</w:t>
            </w:r>
          </w:p>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C6E0B4"/>
          </w:tcPr>
          <w:p w:rsidRPr="00A86516" w:rsidR="001C0F79" w:rsidP="1DE770DF" w:rsidRDefault="1EFB355F" w14:paraId="2B98E53F" w14:textId="77777777">
            <w:pPr>
              <w:jc w:val="left"/>
              <w:rPr>
                <w:rFonts w:asciiTheme="minorHAnsi" w:hAnsiTheme="minorHAnsi" w:eastAsiaTheme="minorEastAsia" w:cstheme="minorBidi"/>
                <w:color w:val="000000" w:themeColor="text1"/>
                <w:lang w:eastAsia="es-CL"/>
              </w:rPr>
            </w:pPr>
            <w:r>
              <w:rPr>
                <w:b/>
                <w:color w:val="1E6B2E"/>
                <w:sz w:val="18"/>
              </w:rPr>
              <w:t>☒ Nivel seleccionado</w:t>
            </w:r>
          </w:p>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C6E0B4"/>
          </w:tcPr>
          <w:p w:rsidRPr="00A86516" w:rsidR="001C0F79" w:rsidP="1DE770DF" w:rsidRDefault="1EFB355F" w14:paraId="3E25DE61" w14:textId="77777777">
            <w:pPr>
              <w:jc w:val="left"/>
              <w:rPr>
                <w:rFonts w:asciiTheme="minorHAnsi" w:hAnsiTheme="minorHAnsi" w:eastAsiaTheme="minorEastAsia" w:cstheme="minorBidi"/>
                <w:color w:val="000000" w:themeColor="text1"/>
                <w:lang w:eastAsia="es-CL"/>
              </w:rPr>
            </w:pPr>
            <w:r>
              <w:rPr>
                <w:b/>
                <w:color w:val="1E6B2E"/>
                <w:sz w:val="18"/>
              </w:rPr>
              <w:t>☒ Nivel seleccionado</w:t>
            </w:r>
          </w:p>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val="clear" w:color="auto" w:fill="C6E0B4"/>
          </w:tcPr>
          <w:p w:rsidRPr="001C0F79" w:rsidR="009A5FF7" w:rsidP="1DE770DF" w:rsidRDefault="68DF5BB9" w14:paraId="5CD07275" w14:textId="243E51B5">
            <w:pPr>
              <w:jc w:val="left"/>
              <w:rPr>
                <w:rFonts w:asciiTheme="minorHAnsi" w:hAnsiTheme="minorHAnsi" w:eastAsiaTheme="minorEastAsia" w:cstheme="minorBidi"/>
                <w:color w:val="000000" w:themeColor="text1"/>
                <w:lang w:eastAsia="es-CL"/>
              </w:rPr>
            </w:pPr>
            <w:r>
              <w:rPr>
                <w:b/>
                <w:color w:val="1E6B2E"/>
                <w:sz w:val="18"/>
              </w:rPr>
              <w:t>☒ Nivel seleccionado</w:t>
            </w:r>
          </w:p>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shd w:val="clear" w:color="auto" w:fill="C6E0B4"/>
          </w:tcPr>
          <w:p w:rsidR="2951D13C" w:rsidP="2951D13C" w:rsidRDefault="2951D13C" w14:paraId="07CEE8D9" w14:textId="534A8CF6">
            <w:pPr>
              <w:spacing w:after="0" w:line="240" w:lineRule="auto"/>
              <w:jc w:val="left"/>
              <w:rPr>
                <w:rFonts w:ascii="Calibri" w:hAnsi="Calibri" w:eastAsia="Calibri" w:cs="Calibri"/>
                <w:b w:val="0"/>
                <w:bCs w:val="0"/>
                <w:i w:val="0"/>
                <w:iCs w:val="0"/>
                <w:caps w:val="0"/>
                <w:smallCaps w:val="0"/>
                <w:color w:val="000000" w:themeColor="text1" w:themeTint="FF" w:themeShade="FF"/>
                <w:sz w:val="20"/>
                <w:szCs w:val="20"/>
              </w:rPr>
            </w:pPr>
            <w:r>
              <w:rPr>
                <w:b/>
                <w:color w:val="1E6B2E"/>
                <w:sz w:val="18"/>
              </w:rPr>
              <w:t>☒ Nivel seleccionado</w:t>
            </w:r>
          </w:p>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pPr>
        <w:spacing w:after="120" w:before="280" w:line="276" w:lineRule="auto"/>
      </w:pPr>
      <w:r>
        <w:rPr>
          <w:rFonts w:ascii="Calibri" w:hAnsi="Calibri"/>
          <w:b/>
          <w:color w:val="003F6C"/>
          <w:sz w:val="28"/>
        </w:rPr>
        <w:t>Justificación de la autoevaluación</w:t>
      </w:r>
    </w:p>
    <w:p>
      <w:pPr>
        <w:spacing w:after="120" w:before="0" w:line="276" w:lineRule="auto"/>
      </w:pPr>
      <w:r>
        <w:rPr>
          <w:rFonts w:ascii="Calibri" w:hAnsi="Calibri"/>
          <w:b/>
          <w:sz w:val="21"/>
        </w:rPr>
        <w:t>Estudiante:</w:t>
      </w:r>
      <w:r>
        <w:rPr>
          <w:rFonts w:ascii="Calibri" w:hAnsi="Calibri"/>
          <w:b w:val="0"/>
          <w:sz w:val="21"/>
        </w:rPr>
        <w:t xml:space="preserve"> Juan Godoy   ·   </w:t>
      </w:r>
      <w:r>
        <w:rPr>
          <w:rFonts w:ascii="Calibri" w:hAnsi="Calibri"/>
          <w:b/>
          <w:sz w:val="21"/>
        </w:rPr>
        <w:t>Proyecto:</w:t>
      </w:r>
      <w:r>
        <w:rPr>
          <w:rFonts w:ascii="Calibri" w:hAnsi="Calibri"/>
          <w:b w:val="0"/>
          <w:sz w:val="21"/>
        </w:rPr>
        <w:t xml:space="preserve"> StockIN   ·   </w:t>
      </w:r>
      <w:r>
        <w:rPr>
          <w:rFonts w:ascii="Calibri" w:hAnsi="Calibri"/>
          <w:b/>
          <w:sz w:val="21"/>
        </w:rPr>
        <w:t>Documento evaluado:</w:t>
      </w:r>
      <w:r>
        <w:rPr>
          <w:rFonts w:ascii="Calibri" w:hAnsi="Calibri"/>
          <w:b w:val="0"/>
          <w:sz w:val="21"/>
        </w:rPr>
        <w:t xml:space="preserve"> Informe de Definición del Proyecto APT (Fase 1)   ·   </w:t>
      </w:r>
      <w:r>
        <w:rPr>
          <w:rFonts w:ascii="Calibri" w:hAnsi="Calibri"/>
          <w:b/>
          <w:sz w:val="21"/>
        </w:rPr>
        <w:t>Fecha:</w:t>
      </w:r>
      <w:r>
        <w:rPr>
          <w:rFonts w:ascii="Calibri" w:hAnsi="Calibri"/>
          <w:b w:val="0"/>
          <w:sz w:val="21"/>
        </w:rPr>
        <w:t xml:space="preserve"> 21-10-2026</w:t>
      </w:r>
    </w:p>
    <w:tbl>
      <w:tblPr>
        <w:tblStyle w:val="Tablaconcuadrcula"/>
        <w:tblW w:type="auto" w:w="0"/>
        <w:tblLayout w:type="fixed"/>
        <w:tblLook w:firstColumn="1" w:firstRow="1" w:lastColumn="0" w:lastRow="0" w:noHBand="0" w:noVBand="1" w:val="04A0"/>
      </w:tblPr>
      <w:tblGrid>
        <w:gridCol w:w="3251"/>
        <w:gridCol w:w="3251"/>
        <w:gridCol w:w="3251"/>
        <w:gridCol w:w="3251"/>
      </w:tblGrid>
      <w:tr>
        <w:trPr>
          <w:cantSplit/>
        </w:trPr>
        <w:tc>
          <w:tcPr>
            <w:tcW w:type="dxa" w:w="3175"/>
            <w:shd w:val="clear" w:color="auto" w:fill="003F6C"/>
          </w:tcPr>
          <w:p>
            <w:pPr>
              <w:spacing w:after="40" w:line="240" w:lineRule="auto"/>
            </w:pPr>
            <w:r>
              <w:rPr>
                <w:rFonts w:ascii="Calibri" w:hAnsi="Calibri"/>
                <w:b/>
                <w:color w:val="FFFFFF"/>
                <w:sz w:val="19"/>
              </w:rPr>
              <w:t>Indicador de evaluación</w:t>
            </w:r>
          </w:p>
        </w:tc>
        <w:tc>
          <w:tcPr>
            <w:tcW w:type="dxa" w:w="1814"/>
            <w:shd w:val="clear" w:color="auto" w:fill="003F6C"/>
          </w:tcPr>
          <w:p>
            <w:pPr>
              <w:spacing w:after="40" w:line="240" w:lineRule="auto"/>
            </w:pPr>
            <w:r>
              <w:rPr>
                <w:rFonts w:ascii="Calibri" w:hAnsi="Calibri"/>
                <w:b/>
                <w:color w:val="FFFFFF"/>
                <w:sz w:val="19"/>
              </w:rPr>
              <w:t>Nivel seleccionado</w:t>
            </w:r>
          </w:p>
        </w:tc>
        <w:tc>
          <w:tcPr>
            <w:tcW w:type="dxa" w:w="5102"/>
            <w:shd w:val="clear" w:color="auto" w:fill="003F6C"/>
          </w:tcPr>
          <w:p>
            <w:pPr>
              <w:spacing w:after="40" w:line="240" w:lineRule="auto"/>
            </w:pPr>
            <w:r>
              <w:rPr>
                <w:rFonts w:ascii="Calibri" w:hAnsi="Calibri"/>
                <w:b/>
                <w:color w:val="FFFFFF"/>
                <w:sz w:val="19"/>
              </w:rPr>
              <w:t>Justificación (evidencia en la definición)</w:t>
            </w:r>
          </w:p>
        </w:tc>
        <w:tc>
          <w:tcPr>
            <w:tcW w:type="dxa" w:w="4082"/>
            <w:shd w:val="clear" w:color="auto" w:fill="003F6C"/>
          </w:tcPr>
          <w:p>
            <w:pPr>
              <w:spacing w:after="40" w:line="240" w:lineRule="auto"/>
            </w:pPr>
            <w:r>
              <w:rPr>
                <w:rFonts w:ascii="Calibri" w:hAnsi="Calibri"/>
                <w:b/>
                <w:color w:val="FFFFFF"/>
                <w:sz w:val="19"/>
              </w:rPr>
              <w:t>Para llegar a Completamente logrado</w:t>
            </w:r>
          </w:p>
        </w:tc>
      </w:tr>
      <w:tr>
        <w:trPr>
          <w:cantSplit/>
        </w:trPr>
        <w:tc>
          <w:tcPr>
            <w:tcW w:type="dxa" w:w="3175"/>
          </w:tcPr>
          <w:p>
            <w:pPr>
              <w:spacing w:after="40" w:line="240" w:lineRule="auto"/>
            </w:pPr>
            <w:r>
              <w:rPr>
                <w:rFonts w:ascii="Calibri" w:hAnsi="Calibri"/>
                <w:b/>
                <w:sz w:val="19"/>
              </w:rPr>
              <w:t>1. Describe el proyecto y su relevancia</w:t>
            </w:r>
          </w:p>
        </w:tc>
        <w:tc>
          <w:tcPr>
            <w:tcW w:type="dxa" w:w="1814"/>
          </w:tcPr>
          <w:p>
            <w:pPr>
              <w:spacing w:after="40" w:line="240" w:lineRule="auto"/>
            </w:pPr>
            <w:r>
              <w:rPr>
                <w:rFonts w:ascii="Calibri" w:hAnsi="Calibri"/>
                <w:b w:val="0"/>
                <w:sz w:val="19"/>
              </w:rPr>
              <w:t>Completamente logrado (100 %)</w:t>
            </w:r>
          </w:p>
        </w:tc>
        <w:tc>
          <w:tcPr>
            <w:tcW w:type="dxa" w:w="5102"/>
          </w:tcPr>
          <w:p>
            <w:pPr>
              <w:spacing w:after="40" w:line="240" w:lineRule="auto"/>
            </w:pPr>
            <w:r>
              <w:rPr>
                <w:rFonts w:ascii="Calibri" w:hAnsi="Calibri"/>
                <w:b w:val="0"/>
                <w:sz w:val="19"/>
              </w:rPr>
              <w:t>El informe describe StockIN (secciones 2 y 3.1) y justifica su relevancia: los micro emprendedores llevan el stock en cuadernos o planillas, con quiebres de stock y ganancias desconocidas, problema confirmado con una encuesta en Santiago, y explica el valor para el campo laboral de la carrera.</w:t>
            </w:r>
          </w:p>
        </w:tc>
        <w:tc>
          <w:tcPr>
            <w:tcW w:type="dxa" w:w="4082"/>
          </w:tcPr>
          <w:p>
            <w:pPr>
              <w:spacing w:after="40" w:line="240" w:lineRule="auto"/>
            </w:pPr>
            <w:r>
              <w:rPr>
                <w:rFonts w:ascii="Calibri" w:hAnsi="Calibri"/>
                <w:b w:val="0"/>
                <w:sz w:val="19"/>
              </w:rPr>
              <w:t>Nivel máximo.</w:t>
            </w:r>
          </w:p>
        </w:tc>
      </w:tr>
      <w:tr>
        <w:trPr>
          <w:cantSplit/>
        </w:trPr>
        <w:tc>
          <w:tcPr>
            <w:tcW w:type="dxa" w:w="3175"/>
            <w:shd w:val="clear" w:color="auto" w:fill="E8F0F7"/>
          </w:tcPr>
          <w:p>
            <w:pPr>
              <w:spacing w:after="40" w:line="240" w:lineRule="auto"/>
            </w:pPr>
            <w:r>
              <w:rPr>
                <w:rFonts w:ascii="Calibri" w:hAnsi="Calibri"/>
                <w:b/>
                <w:sz w:val="19"/>
              </w:rPr>
              <w:t>2. Relaciona con las competencias</w:t>
            </w:r>
          </w:p>
        </w:tc>
        <w:tc>
          <w:tcPr>
            <w:tcW w:type="dxa" w:w="1814"/>
            <w:shd w:val="clear" w:color="auto" w:fill="E8F0F7"/>
          </w:tcPr>
          <w:p>
            <w:pPr>
              <w:spacing w:after="40" w:line="240" w:lineRule="auto"/>
            </w:pPr>
            <w:r>
              <w:rPr>
                <w:rFonts w:ascii="Calibri" w:hAnsi="Calibri"/>
                <w:b w:val="0"/>
                <w:sz w:val="19"/>
              </w:rPr>
              <w:t>Completamente logrado (100 %)</w:t>
            </w:r>
          </w:p>
        </w:tc>
        <w:tc>
          <w:tcPr>
            <w:tcW w:type="dxa" w:w="5102"/>
            <w:shd w:val="clear" w:color="auto" w:fill="E8F0F7"/>
          </w:tcPr>
          <w:p>
            <w:pPr>
              <w:spacing w:after="40" w:line="240" w:lineRule="auto"/>
            </w:pPr>
            <w:r>
              <w:rPr>
                <w:rFonts w:ascii="Calibri" w:hAnsi="Calibri"/>
                <w:b w:val="0"/>
                <w:sz w:val="19"/>
              </w:rPr>
              <w:t>La sección 3.2 relaciona las cuatro competencias del perfil de egreso, con su redacción oficial, con una parte concreta del proyecto (pruebas, gestión, modelo de datos y solución de software) y con sus indicadores 1.1 a 4.3.</w:t>
            </w:r>
          </w:p>
        </w:tc>
        <w:tc>
          <w:tcPr>
            <w:tcW w:type="dxa" w:w="4082"/>
            <w:shd w:val="clear" w:color="auto" w:fill="E8F0F7"/>
          </w:tcPr>
          <w:p>
            <w:pPr>
              <w:spacing w:after="40" w:line="240" w:lineRule="auto"/>
            </w:pPr>
            <w:r>
              <w:rPr>
                <w:rFonts w:ascii="Calibri" w:hAnsi="Calibri"/>
                <w:b w:val="0"/>
                <w:sz w:val="19"/>
              </w:rPr>
              <w:t>Nivel máximo.</w:t>
            </w:r>
          </w:p>
        </w:tc>
      </w:tr>
      <w:tr>
        <w:trPr>
          <w:cantSplit/>
        </w:trPr>
        <w:tc>
          <w:tcPr>
            <w:tcW w:type="dxa" w:w="3175"/>
          </w:tcPr>
          <w:p>
            <w:pPr>
              <w:spacing w:after="40" w:line="240" w:lineRule="auto"/>
            </w:pPr>
            <w:r>
              <w:rPr>
                <w:rFonts w:ascii="Calibri" w:hAnsi="Calibri"/>
                <w:b/>
                <w:sz w:val="19"/>
              </w:rPr>
              <w:t>3. Relaciona con intereses profesionales</w:t>
            </w:r>
          </w:p>
        </w:tc>
        <w:tc>
          <w:tcPr>
            <w:tcW w:type="dxa" w:w="1814"/>
          </w:tcPr>
          <w:p>
            <w:pPr>
              <w:spacing w:after="40" w:line="240" w:lineRule="auto"/>
            </w:pPr>
            <w:r>
              <w:rPr>
                <w:rFonts w:ascii="Calibri" w:hAnsi="Calibri"/>
                <w:b w:val="0"/>
                <w:sz w:val="19"/>
              </w:rPr>
              <w:t>Logrado (60 %)</w:t>
            </w:r>
          </w:p>
        </w:tc>
        <w:tc>
          <w:tcPr>
            <w:tcW w:type="dxa" w:w="5102"/>
          </w:tcPr>
          <w:p>
            <w:pPr>
              <w:spacing w:after="40" w:line="240" w:lineRule="auto"/>
            </w:pPr>
            <w:r>
              <w:rPr>
                <w:rFonts w:ascii="Calibri" w:hAnsi="Calibri"/>
                <w:b w:val="0"/>
                <w:sz w:val="19"/>
              </w:rPr>
              <w:t>La sección 3.3 menciona los intereses de cada integrante (arquitectura y datos; diseño y visualización) y los conecta con partes del proyecto. Los textos son un borrador que hay que revisar para que reflejen cómo lo vive cada uno.</w:t>
            </w:r>
          </w:p>
        </w:tc>
        <w:tc>
          <w:tcPr>
            <w:tcW w:type="dxa" w:w="4082"/>
          </w:tcPr>
          <w:p>
            <w:pPr>
              <w:spacing w:after="40" w:line="240" w:lineRule="auto"/>
            </w:pPr>
            <w:r>
              <w:rPr>
                <w:rFonts w:ascii="Calibri" w:hAnsi="Calibri"/>
                <w:b w:val="0"/>
                <w:sz w:val="19"/>
              </w:rPr>
              <w:t>Revisar y personalizar cada texto con ejemplos propios del trabajo.</w:t>
            </w:r>
          </w:p>
        </w:tc>
      </w:tr>
      <w:tr>
        <w:trPr>
          <w:cantSplit/>
        </w:trPr>
        <w:tc>
          <w:tcPr>
            <w:tcW w:type="dxa" w:w="3175"/>
            <w:shd w:val="clear" w:color="auto" w:fill="E8F0F7"/>
          </w:tcPr>
          <w:p>
            <w:pPr>
              <w:spacing w:after="40" w:line="240" w:lineRule="auto"/>
            </w:pPr>
            <w:r>
              <w:rPr>
                <w:rFonts w:ascii="Calibri" w:hAnsi="Calibri"/>
                <w:b/>
                <w:sz w:val="19"/>
              </w:rPr>
              <w:t>4. Factibilidad</w:t>
            </w:r>
          </w:p>
        </w:tc>
        <w:tc>
          <w:tcPr>
            <w:tcW w:type="dxa" w:w="1814"/>
            <w:shd w:val="clear" w:color="auto" w:fill="E8F0F7"/>
          </w:tcPr>
          <w:p>
            <w:pPr>
              <w:spacing w:after="40" w:line="240" w:lineRule="auto"/>
            </w:pPr>
            <w:r>
              <w:rPr>
                <w:rFonts w:ascii="Calibri" w:hAnsi="Calibri"/>
                <w:b w:val="0"/>
                <w:sz w:val="19"/>
              </w:rPr>
              <w:t>Completamente logrado (100 %)</w:t>
            </w:r>
          </w:p>
        </w:tc>
        <w:tc>
          <w:tcPr>
            <w:tcW w:type="dxa" w:w="5102"/>
            <w:shd w:val="clear" w:color="auto" w:fill="E8F0F7"/>
          </w:tcPr>
          <w:p>
            <w:pPr>
              <w:spacing w:after="40" w:line="240" w:lineRule="auto"/>
            </w:pPr>
            <w:r>
              <w:rPr>
                <w:rFonts w:ascii="Calibri" w:hAnsi="Calibri"/>
                <w:b w:val="0"/>
                <w:sz w:val="19"/>
              </w:rPr>
              <w:t>La sección 3.4 argumenta la factibilidad con tiempo (seis etapas, 400 horas), materiales (herramientas gratuitas), factores externos (encuesta y prototipo) y cuatro dificultades con su forma de abordarlas.</w:t>
            </w:r>
          </w:p>
        </w:tc>
        <w:tc>
          <w:tcPr>
            <w:tcW w:type="dxa" w:w="4082"/>
            <w:shd w:val="clear" w:color="auto" w:fill="E8F0F7"/>
          </w:tcPr>
          <w:p>
            <w:pPr>
              <w:spacing w:after="40" w:line="240" w:lineRule="auto"/>
            </w:pPr>
            <w:r>
              <w:rPr>
                <w:rFonts w:ascii="Calibri" w:hAnsi="Calibri"/>
                <w:b w:val="0"/>
                <w:sz w:val="19"/>
              </w:rPr>
              <w:t>Nivel máximo.</w:t>
            </w:r>
          </w:p>
        </w:tc>
      </w:tr>
      <w:tr>
        <w:trPr>
          <w:cantSplit/>
        </w:trPr>
        <w:tc>
          <w:tcPr>
            <w:tcW w:type="dxa" w:w="3175"/>
          </w:tcPr>
          <w:p>
            <w:pPr>
              <w:spacing w:after="40" w:line="240" w:lineRule="auto"/>
            </w:pPr>
            <w:r>
              <w:rPr>
                <w:rFonts w:ascii="Calibri" w:hAnsi="Calibri"/>
                <w:b/>
                <w:sz w:val="19"/>
              </w:rPr>
              <w:t>5. Objetivos</w:t>
            </w:r>
          </w:p>
        </w:tc>
        <w:tc>
          <w:tcPr>
            <w:tcW w:type="dxa" w:w="1814"/>
          </w:tcPr>
          <w:p>
            <w:pPr>
              <w:spacing w:after="40" w:line="240" w:lineRule="auto"/>
            </w:pPr>
            <w:r>
              <w:rPr>
                <w:rFonts w:ascii="Calibri" w:hAnsi="Calibri"/>
                <w:b w:val="0"/>
                <w:sz w:val="19"/>
              </w:rPr>
              <w:t>Completamente logrado (100 %)</w:t>
            </w:r>
          </w:p>
        </w:tc>
        <w:tc>
          <w:tcPr>
            <w:tcW w:type="dxa" w:w="5102"/>
          </w:tcPr>
          <w:p>
            <w:pPr>
              <w:spacing w:after="40" w:line="240" w:lineRule="auto"/>
            </w:pPr>
            <w:r>
              <w:rPr>
                <w:rFonts w:ascii="Calibri" w:hAnsi="Calibri"/>
                <w:b w:val="0"/>
                <w:sz w:val="19"/>
              </w:rPr>
              <w:t>El objetivo general y los siete objetivos específicos (sección 4) son claros, coherentes con la situación y con la disciplina, y cada uno tiene una forma de comprobar su logro.</w:t>
            </w:r>
          </w:p>
        </w:tc>
        <w:tc>
          <w:tcPr>
            <w:tcW w:type="dxa" w:w="4082"/>
          </w:tcPr>
          <w:p>
            <w:pPr>
              <w:spacing w:after="40" w:line="240" w:lineRule="auto"/>
            </w:pPr>
            <w:r>
              <w:rPr>
                <w:rFonts w:ascii="Calibri" w:hAnsi="Calibri"/>
                <w:b w:val="0"/>
                <w:sz w:val="19"/>
              </w:rPr>
              <w:t>Nivel máximo.</w:t>
            </w:r>
          </w:p>
        </w:tc>
      </w:tr>
      <w:tr>
        <w:trPr>
          <w:cantSplit/>
        </w:trPr>
        <w:tc>
          <w:tcPr>
            <w:tcW w:type="dxa" w:w="3175"/>
            <w:shd w:val="clear" w:color="auto" w:fill="E8F0F7"/>
          </w:tcPr>
          <w:p>
            <w:pPr>
              <w:spacing w:after="40" w:line="240" w:lineRule="auto"/>
            </w:pPr>
            <w:r>
              <w:rPr>
                <w:rFonts w:ascii="Calibri" w:hAnsi="Calibri"/>
                <w:b/>
                <w:sz w:val="19"/>
              </w:rPr>
              <w:t>6. Metodología</w:t>
            </w:r>
          </w:p>
        </w:tc>
        <w:tc>
          <w:tcPr>
            <w:tcW w:type="dxa" w:w="1814"/>
            <w:shd w:val="clear" w:color="auto" w:fill="E8F0F7"/>
          </w:tcPr>
          <w:p>
            <w:pPr>
              <w:spacing w:after="40" w:line="240" w:lineRule="auto"/>
            </w:pPr>
            <w:r>
              <w:rPr>
                <w:rFonts w:ascii="Calibri" w:hAnsi="Calibri"/>
                <w:b w:val="0"/>
                <w:sz w:val="19"/>
              </w:rPr>
              <w:t>Completamente logrado (100 %)</w:t>
            </w:r>
          </w:p>
        </w:tc>
        <w:tc>
          <w:tcPr>
            <w:tcW w:type="dxa" w:w="5102"/>
            <w:shd w:val="clear" w:color="auto" w:fill="E8F0F7"/>
          </w:tcPr>
          <w:p>
            <w:pPr>
              <w:spacing w:after="40" w:line="240" w:lineRule="auto"/>
            </w:pPr>
            <w:r>
              <w:rPr>
                <w:rFonts w:ascii="Calibri" w:hAnsi="Calibri"/>
                <w:b w:val="0"/>
                <w:sz w:val="19"/>
              </w:rPr>
              <w:t>La sección 5 justifica Kanban frente a Scrum y describe tablero, límite de trabajo en curso, definición de tarea hecha, verificación según ISO/IEC 25010, seis etapas y responsabilidades, con su pertinencia para los objetivos.</w:t>
            </w:r>
          </w:p>
        </w:tc>
        <w:tc>
          <w:tcPr>
            <w:tcW w:type="dxa" w:w="4082"/>
            <w:shd w:val="clear" w:color="auto" w:fill="E8F0F7"/>
          </w:tcPr>
          <w:p>
            <w:pPr>
              <w:spacing w:after="40" w:line="240" w:lineRule="auto"/>
            </w:pPr>
            <w:r>
              <w:rPr>
                <w:rFonts w:ascii="Calibri" w:hAnsi="Calibri"/>
                <w:b w:val="0"/>
                <w:sz w:val="19"/>
              </w:rPr>
              <w:t>Nivel máximo.</w:t>
            </w:r>
          </w:p>
        </w:tc>
      </w:tr>
      <w:tr>
        <w:trPr>
          <w:cantSplit/>
        </w:trPr>
        <w:tc>
          <w:tcPr>
            <w:tcW w:type="dxa" w:w="3175"/>
          </w:tcPr>
          <w:p>
            <w:pPr>
              <w:spacing w:after="40" w:line="240" w:lineRule="auto"/>
            </w:pPr>
            <w:r>
              <w:rPr>
                <w:rFonts w:ascii="Calibri" w:hAnsi="Calibri"/>
                <w:b/>
                <w:sz w:val="19"/>
              </w:rPr>
              <w:t>7. Plan de trabajo</w:t>
            </w:r>
          </w:p>
        </w:tc>
        <w:tc>
          <w:tcPr>
            <w:tcW w:type="dxa" w:w="1814"/>
          </w:tcPr>
          <w:p>
            <w:pPr>
              <w:spacing w:after="40" w:line="240" w:lineRule="auto"/>
            </w:pPr>
            <w:r>
              <w:rPr>
                <w:rFonts w:ascii="Calibri" w:hAnsi="Calibri"/>
                <w:b w:val="0"/>
                <w:sz w:val="19"/>
              </w:rPr>
              <w:t>Completamente logrado (100 %)</w:t>
            </w:r>
          </w:p>
        </w:tc>
        <w:tc>
          <w:tcPr>
            <w:tcW w:type="dxa" w:w="5102"/>
          </w:tcPr>
          <w:p>
            <w:pPr>
              <w:spacing w:after="40" w:line="240" w:lineRule="auto"/>
            </w:pPr>
            <w:r>
              <w:rPr>
                <w:rFonts w:ascii="Calibri" w:hAnsi="Calibri"/>
                <w:b w:val="0"/>
                <w:sz w:val="19"/>
              </w:rPr>
              <w:t>La sección 7 tiene 14 actividades con recursos, duración, responsable, facilitadores y obstaculizadores, y una carta Gantt de diez semanas; incluye pruebas, seguridad, respaldo y documentación.</w:t>
            </w:r>
          </w:p>
        </w:tc>
        <w:tc>
          <w:tcPr>
            <w:tcW w:type="dxa" w:w="4082"/>
          </w:tcPr>
          <w:p>
            <w:pPr>
              <w:spacing w:after="40" w:line="240" w:lineRule="auto"/>
            </w:pPr>
            <w:r>
              <w:rPr>
                <w:rFonts w:ascii="Calibri" w:hAnsi="Calibri"/>
                <w:b w:val="0"/>
                <w:sz w:val="19"/>
              </w:rPr>
              <w:t>Nivel máximo.</w:t>
            </w:r>
          </w:p>
        </w:tc>
      </w:tr>
      <w:tr>
        <w:trPr>
          <w:cantSplit/>
        </w:trPr>
        <w:tc>
          <w:tcPr>
            <w:tcW w:type="dxa" w:w="3175"/>
            <w:shd w:val="clear" w:color="auto" w:fill="E8F0F7"/>
          </w:tcPr>
          <w:p>
            <w:pPr>
              <w:spacing w:after="40" w:line="240" w:lineRule="auto"/>
            </w:pPr>
            <w:r>
              <w:rPr>
                <w:rFonts w:ascii="Calibri" w:hAnsi="Calibri"/>
                <w:b/>
                <w:sz w:val="19"/>
              </w:rPr>
              <w:t>8. Evidencias</w:t>
            </w:r>
          </w:p>
        </w:tc>
        <w:tc>
          <w:tcPr>
            <w:tcW w:type="dxa" w:w="1814"/>
            <w:shd w:val="clear" w:color="auto" w:fill="E8F0F7"/>
          </w:tcPr>
          <w:p>
            <w:pPr>
              <w:spacing w:after="40" w:line="240" w:lineRule="auto"/>
            </w:pPr>
            <w:r>
              <w:rPr>
                <w:rFonts w:ascii="Calibri" w:hAnsi="Calibri"/>
                <w:b w:val="0"/>
                <w:sz w:val="19"/>
              </w:rPr>
              <w:t>Completamente logrado (100 %)</w:t>
            </w:r>
          </w:p>
        </w:tc>
        <w:tc>
          <w:tcPr>
            <w:tcW w:type="dxa" w:w="5102"/>
            <w:shd w:val="clear" w:color="auto" w:fill="E8F0F7"/>
          </w:tcPr>
          <w:p>
            <w:pPr>
              <w:spacing w:after="40" w:line="240" w:lineRule="auto"/>
            </w:pPr>
            <w:r>
              <w:rPr>
                <w:rFonts w:ascii="Calibri" w:hAnsi="Calibri"/>
                <w:b w:val="0"/>
                <w:sz w:val="19"/>
              </w:rPr>
              <w:t>La sección 6 propone nueve evidencias de avance y finales, cada una con su descripción y justificación de cómo da cuenta de las actividades.</w:t>
            </w:r>
          </w:p>
        </w:tc>
        <w:tc>
          <w:tcPr>
            <w:tcW w:type="dxa" w:w="4082"/>
            <w:shd w:val="clear" w:color="auto" w:fill="E8F0F7"/>
          </w:tcPr>
          <w:p>
            <w:pPr>
              <w:spacing w:after="40" w:line="240" w:lineRule="auto"/>
            </w:pPr>
            <w:r>
              <w:rPr>
                <w:rFonts w:ascii="Calibri" w:hAnsi="Calibri"/>
                <w:b w:val="0"/>
                <w:sz w:val="19"/>
              </w:rPr>
              <w:t>Nivel máximo.</w:t>
            </w:r>
          </w:p>
        </w:tc>
      </w:tr>
      <w:tr>
        <w:trPr>
          <w:cantSplit/>
        </w:trPr>
        <w:tc>
          <w:tcPr>
            <w:tcW w:type="dxa" w:w="3175"/>
          </w:tcPr>
          <w:p>
            <w:pPr>
              <w:spacing w:after="40" w:line="240" w:lineRule="auto"/>
            </w:pPr>
            <w:r>
              <w:rPr>
                <w:rFonts w:ascii="Calibri" w:hAnsi="Calibri"/>
                <w:b/>
                <w:sz w:val="19"/>
              </w:rPr>
              <w:t>9. Redacción, ortografía y citas</w:t>
            </w:r>
          </w:p>
        </w:tc>
        <w:tc>
          <w:tcPr>
            <w:tcW w:type="dxa" w:w="1814"/>
          </w:tcPr>
          <w:p>
            <w:pPr>
              <w:spacing w:after="40" w:line="240" w:lineRule="auto"/>
            </w:pPr>
            <w:r>
              <w:rPr>
                <w:rFonts w:ascii="Calibri" w:hAnsi="Calibri"/>
                <w:b w:val="0"/>
                <w:sz w:val="19"/>
              </w:rPr>
              <w:t>Logrado (60 %)</w:t>
            </w:r>
          </w:p>
        </w:tc>
        <w:tc>
          <w:tcPr>
            <w:tcW w:type="dxa" w:w="5102"/>
          </w:tcPr>
          <w:p>
            <w:pPr>
              <w:spacing w:after="40" w:line="240" w:lineRule="auto"/>
            </w:pPr>
            <w:r>
              <w:rPr>
                <w:rFonts w:ascii="Calibri" w:hAnsi="Calibri"/>
                <w:b w:val="0"/>
                <w:sz w:val="19"/>
              </w:rPr>
              <w:t>El texto está redactado con claridad y tiene bibliografía en APA (Anderson; Kniberg y Skarin; ISO/IEC; Ley 21.719). Falta una revisión final de ortografía y de redacción, por lo que podrían quedar entre 1 y 5 errores.</w:t>
            </w:r>
          </w:p>
        </w:tc>
        <w:tc>
          <w:tcPr>
            <w:tcW w:type="dxa" w:w="4082"/>
          </w:tcPr>
          <w:p>
            <w:pPr>
              <w:spacing w:after="40" w:line="240" w:lineRule="auto"/>
            </w:pPr>
            <w:r>
              <w:rPr>
                <w:rFonts w:ascii="Calibri" w:hAnsi="Calibri"/>
                <w:b w:val="0"/>
                <w:sz w:val="19"/>
              </w:rPr>
              <w:t>Hacer una revisión ortográfica completa y una lectura cruzada entre integrantes.</w:t>
            </w:r>
          </w:p>
        </w:tc>
      </w:tr>
      <w:tr>
        <w:trPr>
          <w:cantSplit/>
        </w:trPr>
        <w:tc>
          <w:tcPr>
            <w:tcW w:type="dxa" w:w="3175"/>
            <w:shd w:val="clear" w:color="auto" w:fill="E8F0F7"/>
          </w:tcPr>
          <w:p>
            <w:pPr>
              <w:spacing w:after="40" w:line="240" w:lineRule="auto"/>
            </w:pPr>
            <w:r>
              <w:rPr>
                <w:rFonts w:ascii="Calibri" w:hAnsi="Calibri"/>
                <w:b/>
                <w:sz w:val="19"/>
              </w:rPr>
              <w:t>10. Formato del informe</w:t>
            </w:r>
          </w:p>
        </w:tc>
        <w:tc>
          <w:tcPr>
            <w:tcW w:type="dxa" w:w="1814"/>
            <w:shd w:val="clear" w:color="auto" w:fill="E8F0F7"/>
          </w:tcPr>
          <w:p>
            <w:pPr>
              <w:spacing w:after="40" w:line="240" w:lineRule="auto"/>
            </w:pPr>
            <w:r>
              <w:rPr>
                <w:rFonts w:ascii="Calibri" w:hAnsi="Calibri"/>
                <w:b w:val="0"/>
                <w:sz w:val="19"/>
              </w:rPr>
              <w:t>Completamente logrado (100 %)</w:t>
            </w:r>
          </w:p>
        </w:tc>
        <w:tc>
          <w:tcPr>
            <w:tcW w:type="dxa" w:w="5102"/>
            <w:shd w:val="clear" w:color="auto" w:fill="E8F0F7"/>
          </w:tcPr>
          <w:p>
            <w:pPr>
              <w:spacing w:after="40" w:line="240" w:lineRule="auto"/>
            </w:pPr>
            <w:r>
              <w:rPr>
                <w:rFonts w:ascii="Calibri" w:hAnsi="Calibri"/>
                <w:b w:val="0"/>
                <w:sz w:val="19"/>
              </w:rPr>
              <w:t>El informe tiene portada, índice, abstract en español e inglés, desarrollo, conclusiones individuales y reflexión en inglés, bibliografía, número de página y fuente Calibri 11 con interlineado 1,5.</w:t>
            </w:r>
          </w:p>
        </w:tc>
        <w:tc>
          <w:tcPr>
            <w:tcW w:type="dxa" w:w="4082"/>
            <w:shd w:val="clear" w:color="auto" w:fill="E8F0F7"/>
          </w:tcPr>
          <w:p>
            <w:pPr>
              <w:spacing w:after="40" w:line="240" w:lineRule="auto"/>
            </w:pPr>
            <w:r>
              <w:rPr>
                <w:rFonts w:ascii="Calibri" w:hAnsi="Calibri"/>
                <w:b w:val="0"/>
                <w:sz w:val="19"/>
              </w:rPr>
              <w:t>Nivel máximo.</w:t>
            </w:r>
          </w:p>
        </w:tc>
      </w:tr>
      <w:tr>
        <w:trPr>
          <w:cantSplit/>
        </w:trPr>
        <w:tc>
          <w:tcPr>
            <w:tcW w:type="dxa" w:w="3175"/>
          </w:tcPr>
          <w:p>
            <w:pPr>
              <w:spacing w:after="40" w:line="240" w:lineRule="auto"/>
            </w:pPr>
            <w:r>
              <w:rPr>
                <w:rFonts w:ascii="Calibri" w:hAnsi="Calibri"/>
                <w:b/>
                <w:sz w:val="19"/>
              </w:rPr>
              <w:t>11. Indicadores de calidad</w:t>
            </w:r>
          </w:p>
        </w:tc>
        <w:tc>
          <w:tcPr>
            <w:tcW w:type="dxa" w:w="1814"/>
          </w:tcPr>
          <w:p>
            <w:pPr>
              <w:spacing w:after="40" w:line="240" w:lineRule="auto"/>
            </w:pPr>
            <w:r>
              <w:rPr>
                <w:rFonts w:ascii="Calibri" w:hAnsi="Calibri"/>
                <w:b w:val="0"/>
                <w:sz w:val="19"/>
              </w:rPr>
              <w:t>Completamente logrado (100 %)</w:t>
            </w:r>
          </w:p>
        </w:tc>
        <w:tc>
          <w:tcPr>
            <w:tcW w:type="dxa" w:w="5102"/>
          </w:tcPr>
          <w:p>
            <w:pPr>
              <w:spacing w:after="40" w:line="240" w:lineRule="auto"/>
            </w:pPr>
            <w:r>
              <w:rPr>
                <w:rFonts w:ascii="Calibri" w:hAnsi="Calibri"/>
                <w:b w:val="0"/>
                <w:sz w:val="19"/>
              </w:rPr>
              <w:t>De los diez indicadores de calidad, seis se pueden evidenciar en una etapa de diseño (1.1, 2.1, 2.2, 3.1, 4.1 y 4.2) y los seis están presentes en el informe (sección 8). Los otros cuatro (1.2, 1.3, 3.2 y 4.3) corresponden a etapas posteriores.</w:t>
            </w:r>
          </w:p>
        </w:tc>
        <w:tc>
          <w:tcPr>
            <w:tcW w:type="dxa" w:w="4082"/>
          </w:tcPr>
          <w:p>
            <w:pPr>
              <w:spacing w:after="40" w:line="240" w:lineRule="auto"/>
            </w:pPr>
            <w:r>
              <w:rPr>
                <w:rFonts w:ascii="Calibri" w:hAnsi="Calibri"/>
                <w:b w:val="0"/>
                <w:sz w:val="19"/>
              </w:rPr>
              <w:t>Nivel máximo.</w:t>
            </w:r>
          </w:p>
        </w:tc>
      </w:tr>
      <w:tr>
        <w:trPr>
          <w:cantSplit/>
        </w:trPr>
        <w:tc>
          <w:tcPr>
            <w:tcW w:type="dxa" w:w="3175"/>
            <w:shd w:val="clear" w:color="auto" w:fill="E8F0F7"/>
          </w:tcPr>
          <w:p>
            <w:pPr>
              <w:spacing w:after="40" w:line="240" w:lineRule="auto"/>
            </w:pPr>
            <w:r>
              <w:rPr>
                <w:rFonts w:ascii="Calibri" w:hAnsi="Calibri"/>
                <w:b/>
                <w:sz w:val="19"/>
              </w:rPr>
              <w:t>12. Comunicación escrita en inglés</w:t>
            </w:r>
          </w:p>
        </w:tc>
        <w:tc>
          <w:tcPr>
            <w:tcW w:type="dxa" w:w="1814"/>
            <w:shd w:val="clear" w:color="auto" w:fill="E8F0F7"/>
          </w:tcPr>
          <w:p>
            <w:pPr>
              <w:spacing w:after="40" w:line="240" w:lineRule="auto"/>
            </w:pPr>
            <w:r>
              <w:rPr>
                <w:rFonts w:ascii="Calibri" w:hAnsi="Calibri"/>
                <w:b w:val="0"/>
                <w:sz w:val="19"/>
              </w:rPr>
              <w:t>Logrado (60 %)</w:t>
            </w:r>
          </w:p>
        </w:tc>
        <w:tc>
          <w:tcPr>
            <w:tcW w:type="dxa" w:w="5102"/>
            <w:shd w:val="clear" w:color="auto" w:fill="E8F0F7"/>
          </w:tcPr>
          <w:p>
            <w:pPr>
              <w:spacing w:after="40" w:line="240" w:lineRule="auto"/>
            </w:pPr>
            <w:r>
              <w:rPr>
                <w:rFonts w:ascii="Calibri" w:hAnsi="Calibri"/>
                <w:b w:val="0"/>
                <w:sz w:val="19"/>
              </w:rPr>
              <w:t>El abstract, las conclusiones individuales y la reflexión están en inglés, con una secuencia lógica y vocabulario técnico, a un nivel intermedio. Falta una revisión de gramática y fluidez para acercarlos al nivel intermedio alto.</w:t>
            </w:r>
          </w:p>
        </w:tc>
        <w:tc>
          <w:tcPr>
            <w:tcW w:type="dxa" w:w="4082"/>
            <w:shd w:val="clear" w:color="auto" w:fill="E8F0F7"/>
          </w:tcPr>
          <w:p>
            <w:pPr>
              <w:spacing w:after="40" w:line="240" w:lineRule="auto"/>
            </w:pPr>
            <w:r>
              <w:rPr>
                <w:rFonts w:ascii="Calibri" w:hAnsi="Calibri"/>
                <w:b w:val="0"/>
                <w:sz w:val="19"/>
              </w:rPr>
              <w:t>Revisar la gramática con una herramienta y con una lectura en voz alta, y reducir las oraciones largas.</w:t>
            </w:r>
          </w:p>
        </w:tc>
      </w:tr>
    </w:tbl>
    <w:p>
      <w:pPr>
        <w:spacing w:after="120" w:before="200" w:line="276" w:lineRule="auto"/>
      </w:pPr>
      <w:r>
        <w:rPr>
          <w:rFonts w:ascii="Calibri" w:hAnsi="Calibri"/>
          <w:b/>
          <w:sz w:val="22"/>
        </w:rPr>
        <w:t>Puntaje estimado según la rúbrica: 92 %</w:t>
      </w:r>
      <w:r>
        <w:rPr>
          <w:rFonts w:ascii="Calibri" w:hAnsi="Calibri"/>
          <w:b w:val="0"/>
          <w:sz w:val="22"/>
        </w:rPr>
        <w:t xml:space="preserve"> (ponderación de cada indicador por el porcentaje del nivel seleccionado).</w:t>
      </w:r>
    </w:p>
    <w:p>
      <w:pPr>
        <w:spacing w:after="120" w:before="0" w:line="276" w:lineRule="auto"/>
      </w:pPr>
      <w:r>
        <w:rPr>
          <w:rFonts w:ascii="Calibri" w:hAnsi="Calibri"/>
          <w:b/>
          <w:sz w:val="22"/>
        </w:rPr>
        <w:t>Conclusión.</w:t>
      </w:r>
      <w:r>
        <w:rPr>
          <w:rFonts w:ascii="Calibri" w:hAnsi="Calibri"/>
          <w:b w:val="0"/>
          <w:sz w:val="22"/>
        </w:rPr>
        <w:t xml:space="preserve"> El informe de definición cumple los apartados que pide el instructivo. Lo que aún puede subir el resultado es personalizar los textos de intereses profesionales, revisar la ortografía y la redacción, y mejorar la gramática de los textos en inglés antes de entregar.</w:t>
      </w:r>
    </w:p>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