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2016 泛珠三角大學生計算機作品賽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尊敬的副院長: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有關本校電腦學課程在國內進行招生工作的事宜，為直接聯繫褔建廈門的重點中學，從而有針對性地吸納其優質學生，並跟進電腦學課程去年到褔建各中學的宣傳成效，以及推廣本院將於7月份舉行的“2016泛珠三角大學生計算機作品賽總決賽”活動(附件一)，本校擬於2016年6月下旬委派電腦學課程張小弟助理主任、柯韋副教授及李文燁講師，到褔建省廈門一中及廈門雙十中學進行直接招生、專業演講及活動宣傳，以加強與袓國內地院校的交流，為期約6天，具體日期待定(附件二)，呈請副院長批准有關的公幹行為。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行為建議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建議書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P002/ESAP/2017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2017/09/03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P002/ESAP/2017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2017/09/03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  <w:p>
      <w:pPr>
        <w:sectPr/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/>
                <w:b/>
                <w:szCs w:val="24"/>
                <w:lang w:val="en-US" w:eastAsia="zh-TW"/>
              </w:rPr>
              <w:t>2016 alunos competição Pan-pérola Projeto Delta do Rio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ab/>
                        </w:r>
                        <w:r>
                          <w:rPr>
                            <w:szCs w:val="22"/>
                            <w:lang w:eastAsia="zh-TW"/>
                          </w:rPr>
                          <w:t>Caro vice-presidente: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ab/>
                        </w:r>
                        <w:r>
                          <w:rPr>
                            <w:color w:val="000000"/>
                            <w:szCs w:val="24"/>
                            <w:lang w:eastAsia="zh-TW"/>
                          </w:rPr>
                          <w:t>Questões relacionadas com o computador da escola cursos de ciências de inscrição no país, está diretamente ligada à chave de ensino médio em Xiamen, Fu Jian, e, assim, alvo de atrair a qualidade de seus alunos, e para acompanhar cursos de ciência da computação nas escolas secundárias no ano passado, efeito de propaganda Fu Jian, e Tribunal vai promover o evento "2016 finais da competição Pan-Pearl River Projeto Delta Estudantes", realizada em julho (anexo I), a escola tem a intenção de final de junho de 2016, diretor-assistente nomeado do currículo de ciência da computação Zhang Xiaodi, e Ke Wei Li Ye, um lecturer professor associado , de Fu Jian Província, Xiamen Shuangshi ensino médio e Xiamen em uma admissão direta, apresentações profissionais e atividades promocionais para aumentar intercâmbios e Cho para as instituições domésticas por um período de cerca de 6 dias, data a ser anunciada (anexo II), vice-presidente de petição aprovação de conduta de negócios.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行為建議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>
              <w:rPr>
                <w:b/>
                <w:bCs/>
                <w:lang w:val="en-US" w:eastAsia="zh-TW"/>
              </w:rPr>
              <w:t>recomendações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P002/ESAP/2017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>
              <w:rPr>
                <w:b/>
                <w:lang w:val="pt-PT" w:eastAsia="zh-TW"/>
              </w:rPr>
              <w:t>2017/09/03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>
        <w:rPr>
          <w:b/>
          <w:color w:val="000000"/>
          <w:sz w:val="20"/>
          <w:lang w:val="pt-PT" w:eastAsia="zh-TW"/>
        </w:rPr>
        <w:t>P002/ESAP/2017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>
        <w:rPr>
          <w:b/>
          <w:color w:val="000000"/>
          <w:sz w:val="20"/>
          <w:lang w:val="pt-PT" w:eastAsia="zh-TW"/>
        </w:rPr>
        <w:t>2017/09/03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CE" w:rsidRDefault="00D308CE" w:rsidP="006D4F93">
      <w:r>
        <w:separator/>
      </w:r>
    </w:p>
  </w:endnote>
  <w:endnote w:type="continuationSeparator" w:id="0">
    <w:p w:rsidR="00D308CE" w:rsidRDefault="00D308CE" w:rsidP="006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CE" w:rsidRDefault="00D308CE" w:rsidP="006D4F93">
      <w:r>
        <w:separator/>
      </w:r>
    </w:p>
  </w:footnote>
  <w:footnote w:type="continuationSeparator" w:id="0">
    <w:p w:rsidR="00D308CE" w:rsidRDefault="00D308CE" w:rsidP="006D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abstractNum w:abstractNumId="16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6"/>
  </w:num>
  <w:num w:numId="15">
    <w:abstractNumId w:val="0"/>
  </w:num>
  <w:num w:numId="16">
    <w:abstractNumId w:val="12"/>
  </w:num>
  <w:num w:numId="257">
    <w:abstractNumId w:val="26"/>
  </w:num>
  <w:num w:numId="258">
    <w:abstractNumId w:val="23"/>
  </w:num>
  <w:num w:numId="259">
    <w:abstractNumId w:val="17"/>
  </w:num>
  <w:num w:numId="260">
    <w:abstractNumId w:val="25"/>
  </w:num>
  <w:num w:numId="261">
    <w:abstractNumId w:val="27"/>
  </w:num>
  <w:num w:numId="262">
    <w:abstractNumId w:val="29"/>
  </w:num>
  <w:num w:numId="263">
    <w:abstractNumId w:val="19"/>
  </w:num>
  <w:num w:numId="264">
    <w:abstractNumId w:val="31"/>
  </w:num>
  <w:num w:numId="265">
    <w:abstractNumId w:val="24"/>
  </w:num>
  <w:num w:numId="266">
    <w:abstractNumId w:val="18"/>
  </w:num>
  <w:num w:numId="267">
    <w:abstractNumId w:val="21"/>
  </w:num>
  <w:num w:numId="268">
    <w:abstractNumId w:val="20"/>
  </w:num>
  <w:num w:numId="269">
    <w:abstractNumId w:val="30"/>
  </w:num>
  <w:num w:numId="270">
    <w:abstractNumId w:val="22"/>
  </w:num>
  <w:num w:numId="271">
    <w:abstractNumId w:val="16"/>
  </w:num>
  <w:num w:numId="2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A1F"/>
    <w:rsid w:val="0000543B"/>
    <w:rsid w:val="00015340"/>
    <w:rsid w:val="00030EBF"/>
    <w:rsid w:val="00035932"/>
    <w:rsid w:val="00035F88"/>
    <w:rsid w:val="00042609"/>
    <w:rsid w:val="00046E14"/>
    <w:rsid w:val="0004740B"/>
    <w:rsid w:val="0005141D"/>
    <w:rsid w:val="00052AC5"/>
    <w:rsid w:val="0006383F"/>
    <w:rsid w:val="00064F15"/>
    <w:rsid w:val="00065C0F"/>
    <w:rsid w:val="000660E9"/>
    <w:rsid w:val="0006615F"/>
    <w:rsid w:val="00066F84"/>
    <w:rsid w:val="00067493"/>
    <w:rsid w:val="00067E2A"/>
    <w:rsid w:val="0007503E"/>
    <w:rsid w:val="00077337"/>
    <w:rsid w:val="000838C3"/>
    <w:rsid w:val="000865E8"/>
    <w:rsid w:val="0009063E"/>
    <w:rsid w:val="000928DF"/>
    <w:rsid w:val="000C6192"/>
    <w:rsid w:val="000C7C59"/>
    <w:rsid w:val="000D2398"/>
    <w:rsid w:val="000D24A4"/>
    <w:rsid w:val="000D4C20"/>
    <w:rsid w:val="000E17BF"/>
    <w:rsid w:val="000E3C22"/>
    <w:rsid w:val="000E409D"/>
    <w:rsid w:val="000E450E"/>
    <w:rsid w:val="00103B81"/>
    <w:rsid w:val="00111CEE"/>
    <w:rsid w:val="00112435"/>
    <w:rsid w:val="00115B03"/>
    <w:rsid w:val="0011706C"/>
    <w:rsid w:val="00120A81"/>
    <w:rsid w:val="001321C0"/>
    <w:rsid w:val="0013232B"/>
    <w:rsid w:val="00144ECF"/>
    <w:rsid w:val="00155975"/>
    <w:rsid w:val="001605B6"/>
    <w:rsid w:val="001723C2"/>
    <w:rsid w:val="001844D3"/>
    <w:rsid w:val="001951E6"/>
    <w:rsid w:val="001A36A1"/>
    <w:rsid w:val="001A5BEB"/>
    <w:rsid w:val="001B110D"/>
    <w:rsid w:val="001C4349"/>
    <w:rsid w:val="001C6F5D"/>
    <w:rsid w:val="001D7AA0"/>
    <w:rsid w:val="001E6A47"/>
    <w:rsid w:val="001F107D"/>
    <w:rsid w:val="001F1DD5"/>
    <w:rsid w:val="00221896"/>
    <w:rsid w:val="00227AD8"/>
    <w:rsid w:val="002363D7"/>
    <w:rsid w:val="00236C2C"/>
    <w:rsid w:val="0023742A"/>
    <w:rsid w:val="0023758E"/>
    <w:rsid w:val="00251827"/>
    <w:rsid w:val="00256A2B"/>
    <w:rsid w:val="00257AB1"/>
    <w:rsid w:val="00261BD2"/>
    <w:rsid w:val="00263B68"/>
    <w:rsid w:val="002646D3"/>
    <w:rsid w:val="00267C32"/>
    <w:rsid w:val="00267EAD"/>
    <w:rsid w:val="00275FF6"/>
    <w:rsid w:val="0028256F"/>
    <w:rsid w:val="00282761"/>
    <w:rsid w:val="00294949"/>
    <w:rsid w:val="002A061E"/>
    <w:rsid w:val="002A72BE"/>
    <w:rsid w:val="002B3E2B"/>
    <w:rsid w:val="002B7F11"/>
    <w:rsid w:val="002C0D22"/>
    <w:rsid w:val="002D5040"/>
    <w:rsid w:val="002D75A4"/>
    <w:rsid w:val="002F004B"/>
    <w:rsid w:val="002F2971"/>
    <w:rsid w:val="00302E77"/>
    <w:rsid w:val="0031054D"/>
    <w:rsid w:val="003434C0"/>
    <w:rsid w:val="003444FD"/>
    <w:rsid w:val="00345A1F"/>
    <w:rsid w:val="0034635E"/>
    <w:rsid w:val="00356F27"/>
    <w:rsid w:val="0037666A"/>
    <w:rsid w:val="00377824"/>
    <w:rsid w:val="00377B10"/>
    <w:rsid w:val="003919F0"/>
    <w:rsid w:val="0039649C"/>
    <w:rsid w:val="00396C2A"/>
    <w:rsid w:val="003A72A5"/>
    <w:rsid w:val="003B1411"/>
    <w:rsid w:val="003B3F55"/>
    <w:rsid w:val="003B5CF1"/>
    <w:rsid w:val="003C05CB"/>
    <w:rsid w:val="003C1007"/>
    <w:rsid w:val="003D09FD"/>
    <w:rsid w:val="003D183F"/>
    <w:rsid w:val="003D312F"/>
    <w:rsid w:val="003D665F"/>
    <w:rsid w:val="003E06EA"/>
    <w:rsid w:val="00416F6F"/>
    <w:rsid w:val="00421020"/>
    <w:rsid w:val="00433868"/>
    <w:rsid w:val="0043393A"/>
    <w:rsid w:val="00456344"/>
    <w:rsid w:val="0046018F"/>
    <w:rsid w:val="00471184"/>
    <w:rsid w:val="004713EE"/>
    <w:rsid w:val="004748EF"/>
    <w:rsid w:val="00477DE5"/>
    <w:rsid w:val="00485209"/>
    <w:rsid w:val="00491816"/>
    <w:rsid w:val="004A5043"/>
    <w:rsid w:val="004B2094"/>
    <w:rsid w:val="004B5D89"/>
    <w:rsid w:val="004B799C"/>
    <w:rsid w:val="004C10A4"/>
    <w:rsid w:val="004C7304"/>
    <w:rsid w:val="004E2358"/>
    <w:rsid w:val="004E2CDE"/>
    <w:rsid w:val="004E3578"/>
    <w:rsid w:val="004F45FD"/>
    <w:rsid w:val="00501AB1"/>
    <w:rsid w:val="00503A49"/>
    <w:rsid w:val="0051453E"/>
    <w:rsid w:val="005154B6"/>
    <w:rsid w:val="00517B0E"/>
    <w:rsid w:val="00526AAF"/>
    <w:rsid w:val="00535588"/>
    <w:rsid w:val="00542A10"/>
    <w:rsid w:val="005443EF"/>
    <w:rsid w:val="00547009"/>
    <w:rsid w:val="005578C5"/>
    <w:rsid w:val="0056109D"/>
    <w:rsid w:val="005665CA"/>
    <w:rsid w:val="00567B90"/>
    <w:rsid w:val="00570696"/>
    <w:rsid w:val="00573B57"/>
    <w:rsid w:val="005827D7"/>
    <w:rsid w:val="005838C0"/>
    <w:rsid w:val="0058470E"/>
    <w:rsid w:val="00595733"/>
    <w:rsid w:val="005B5192"/>
    <w:rsid w:val="005C2995"/>
    <w:rsid w:val="005D622A"/>
    <w:rsid w:val="005E4B75"/>
    <w:rsid w:val="005E66AF"/>
    <w:rsid w:val="005E777A"/>
    <w:rsid w:val="005F2141"/>
    <w:rsid w:val="005F22E4"/>
    <w:rsid w:val="005F7523"/>
    <w:rsid w:val="005F7FE6"/>
    <w:rsid w:val="00605DA0"/>
    <w:rsid w:val="006117D4"/>
    <w:rsid w:val="00615809"/>
    <w:rsid w:val="00617BBB"/>
    <w:rsid w:val="00625B04"/>
    <w:rsid w:val="00625B35"/>
    <w:rsid w:val="00627A3F"/>
    <w:rsid w:val="00630AB3"/>
    <w:rsid w:val="00633DAC"/>
    <w:rsid w:val="006405B3"/>
    <w:rsid w:val="0064487B"/>
    <w:rsid w:val="00647B04"/>
    <w:rsid w:val="00657120"/>
    <w:rsid w:val="00665C1C"/>
    <w:rsid w:val="0066781F"/>
    <w:rsid w:val="00673F39"/>
    <w:rsid w:val="006764D1"/>
    <w:rsid w:val="00684762"/>
    <w:rsid w:val="00687CF0"/>
    <w:rsid w:val="0069023F"/>
    <w:rsid w:val="0069630A"/>
    <w:rsid w:val="006967D7"/>
    <w:rsid w:val="006969DE"/>
    <w:rsid w:val="006C0C49"/>
    <w:rsid w:val="006C3BEA"/>
    <w:rsid w:val="006C44D5"/>
    <w:rsid w:val="006C6CA4"/>
    <w:rsid w:val="006D20B0"/>
    <w:rsid w:val="006D4F93"/>
    <w:rsid w:val="006E1DE3"/>
    <w:rsid w:val="006F0943"/>
    <w:rsid w:val="006F0EBB"/>
    <w:rsid w:val="006F4B95"/>
    <w:rsid w:val="00705BFC"/>
    <w:rsid w:val="007223A9"/>
    <w:rsid w:val="00722E74"/>
    <w:rsid w:val="007242DB"/>
    <w:rsid w:val="00731476"/>
    <w:rsid w:val="00732C57"/>
    <w:rsid w:val="00740FAE"/>
    <w:rsid w:val="00746F7E"/>
    <w:rsid w:val="00747464"/>
    <w:rsid w:val="00753271"/>
    <w:rsid w:val="0075749E"/>
    <w:rsid w:val="00763D4E"/>
    <w:rsid w:val="00770B8C"/>
    <w:rsid w:val="007714D2"/>
    <w:rsid w:val="00773D89"/>
    <w:rsid w:val="00776477"/>
    <w:rsid w:val="00781E28"/>
    <w:rsid w:val="007829D8"/>
    <w:rsid w:val="007A501C"/>
    <w:rsid w:val="007B3AAC"/>
    <w:rsid w:val="007C582F"/>
    <w:rsid w:val="007D0C06"/>
    <w:rsid w:val="007D72CE"/>
    <w:rsid w:val="007E6A4E"/>
    <w:rsid w:val="007E783C"/>
    <w:rsid w:val="00801094"/>
    <w:rsid w:val="00803F56"/>
    <w:rsid w:val="008056CF"/>
    <w:rsid w:val="00811570"/>
    <w:rsid w:val="00811FF6"/>
    <w:rsid w:val="008130EF"/>
    <w:rsid w:val="00826A43"/>
    <w:rsid w:val="0084027B"/>
    <w:rsid w:val="00845C9B"/>
    <w:rsid w:val="00851BBF"/>
    <w:rsid w:val="008558D6"/>
    <w:rsid w:val="00856378"/>
    <w:rsid w:val="008610FE"/>
    <w:rsid w:val="008635F8"/>
    <w:rsid w:val="008707DB"/>
    <w:rsid w:val="00870A6D"/>
    <w:rsid w:val="00871CE4"/>
    <w:rsid w:val="008800C0"/>
    <w:rsid w:val="00883B88"/>
    <w:rsid w:val="008958FA"/>
    <w:rsid w:val="008A0493"/>
    <w:rsid w:val="008C0CFE"/>
    <w:rsid w:val="008C1955"/>
    <w:rsid w:val="008C753A"/>
    <w:rsid w:val="008D4C6E"/>
    <w:rsid w:val="008F662D"/>
    <w:rsid w:val="0090732B"/>
    <w:rsid w:val="009141D9"/>
    <w:rsid w:val="00927F5B"/>
    <w:rsid w:val="009349FA"/>
    <w:rsid w:val="009469B7"/>
    <w:rsid w:val="00951A3C"/>
    <w:rsid w:val="009531CB"/>
    <w:rsid w:val="00956326"/>
    <w:rsid w:val="00956AFF"/>
    <w:rsid w:val="00962BCF"/>
    <w:rsid w:val="00965BEA"/>
    <w:rsid w:val="00975473"/>
    <w:rsid w:val="0097645C"/>
    <w:rsid w:val="00980BD9"/>
    <w:rsid w:val="009876A5"/>
    <w:rsid w:val="009A4850"/>
    <w:rsid w:val="009D1BDB"/>
    <w:rsid w:val="009F702D"/>
    <w:rsid w:val="00A028BD"/>
    <w:rsid w:val="00A10822"/>
    <w:rsid w:val="00A110B0"/>
    <w:rsid w:val="00A17453"/>
    <w:rsid w:val="00A20140"/>
    <w:rsid w:val="00A25CB7"/>
    <w:rsid w:val="00A27C76"/>
    <w:rsid w:val="00A321E3"/>
    <w:rsid w:val="00A328A1"/>
    <w:rsid w:val="00A40C1A"/>
    <w:rsid w:val="00A41D6F"/>
    <w:rsid w:val="00A46C56"/>
    <w:rsid w:val="00A55156"/>
    <w:rsid w:val="00A64452"/>
    <w:rsid w:val="00A66B7C"/>
    <w:rsid w:val="00A7166B"/>
    <w:rsid w:val="00A729B0"/>
    <w:rsid w:val="00A737EE"/>
    <w:rsid w:val="00A908F3"/>
    <w:rsid w:val="00A9293C"/>
    <w:rsid w:val="00A9334E"/>
    <w:rsid w:val="00AA06EC"/>
    <w:rsid w:val="00AA5335"/>
    <w:rsid w:val="00AB1243"/>
    <w:rsid w:val="00AB76D6"/>
    <w:rsid w:val="00AC3255"/>
    <w:rsid w:val="00AD1741"/>
    <w:rsid w:val="00AE0B7B"/>
    <w:rsid w:val="00AE1F8C"/>
    <w:rsid w:val="00AE4A48"/>
    <w:rsid w:val="00AE655E"/>
    <w:rsid w:val="00B02DBD"/>
    <w:rsid w:val="00B07354"/>
    <w:rsid w:val="00B12D0B"/>
    <w:rsid w:val="00B27F1E"/>
    <w:rsid w:val="00B317F1"/>
    <w:rsid w:val="00B420C7"/>
    <w:rsid w:val="00B44F98"/>
    <w:rsid w:val="00B55963"/>
    <w:rsid w:val="00B663FD"/>
    <w:rsid w:val="00B81538"/>
    <w:rsid w:val="00B85097"/>
    <w:rsid w:val="00B85A5A"/>
    <w:rsid w:val="00B90E4D"/>
    <w:rsid w:val="00B96DD4"/>
    <w:rsid w:val="00BB0166"/>
    <w:rsid w:val="00BB0C8B"/>
    <w:rsid w:val="00BC286E"/>
    <w:rsid w:val="00BC30F6"/>
    <w:rsid w:val="00BC75BB"/>
    <w:rsid w:val="00BD11D4"/>
    <w:rsid w:val="00BD420C"/>
    <w:rsid w:val="00BD6C5C"/>
    <w:rsid w:val="00BE1EAD"/>
    <w:rsid w:val="00BE588A"/>
    <w:rsid w:val="00C0589C"/>
    <w:rsid w:val="00C10778"/>
    <w:rsid w:val="00C32211"/>
    <w:rsid w:val="00C356D2"/>
    <w:rsid w:val="00C367B3"/>
    <w:rsid w:val="00C4763D"/>
    <w:rsid w:val="00C609E9"/>
    <w:rsid w:val="00C8096F"/>
    <w:rsid w:val="00C83878"/>
    <w:rsid w:val="00C86CA2"/>
    <w:rsid w:val="00C956A9"/>
    <w:rsid w:val="00CA2060"/>
    <w:rsid w:val="00CA2165"/>
    <w:rsid w:val="00CA232E"/>
    <w:rsid w:val="00CA443C"/>
    <w:rsid w:val="00CB0EC6"/>
    <w:rsid w:val="00CD7F66"/>
    <w:rsid w:val="00CE6D38"/>
    <w:rsid w:val="00CF4D86"/>
    <w:rsid w:val="00D02EC9"/>
    <w:rsid w:val="00D04364"/>
    <w:rsid w:val="00D1473B"/>
    <w:rsid w:val="00D17582"/>
    <w:rsid w:val="00D22C0A"/>
    <w:rsid w:val="00D237EE"/>
    <w:rsid w:val="00D244C1"/>
    <w:rsid w:val="00D30398"/>
    <w:rsid w:val="00D308CE"/>
    <w:rsid w:val="00D33302"/>
    <w:rsid w:val="00D45921"/>
    <w:rsid w:val="00D707BE"/>
    <w:rsid w:val="00D72173"/>
    <w:rsid w:val="00D77D28"/>
    <w:rsid w:val="00D80D73"/>
    <w:rsid w:val="00D84D99"/>
    <w:rsid w:val="00D918FA"/>
    <w:rsid w:val="00D92836"/>
    <w:rsid w:val="00D92A5F"/>
    <w:rsid w:val="00D95373"/>
    <w:rsid w:val="00D9666A"/>
    <w:rsid w:val="00DA049A"/>
    <w:rsid w:val="00DA09D2"/>
    <w:rsid w:val="00DA1396"/>
    <w:rsid w:val="00DA4D22"/>
    <w:rsid w:val="00DA4F41"/>
    <w:rsid w:val="00DB09F6"/>
    <w:rsid w:val="00DB33D6"/>
    <w:rsid w:val="00DB3EAF"/>
    <w:rsid w:val="00DC0E1E"/>
    <w:rsid w:val="00DC59F5"/>
    <w:rsid w:val="00DC7CFA"/>
    <w:rsid w:val="00DD14CF"/>
    <w:rsid w:val="00DE7C5E"/>
    <w:rsid w:val="00DF6C72"/>
    <w:rsid w:val="00E0441E"/>
    <w:rsid w:val="00E07A45"/>
    <w:rsid w:val="00E15DBD"/>
    <w:rsid w:val="00E20C6B"/>
    <w:rsid w:val="00E23BCC"/>
    <w:rsid w:val="00E35BF0"/>
    <w:rsid w:val="00E42A70"/>
    <w:rsid w:val="00E536B5"/>
    <w:rsid w:val="00E5384F"/>
    <w:rsid w:val="00E5703D"/>
    <w:rsid w:val="00E60BF7"/>
    <w:rsid w:val="00E862F0"/>
    <w:rsid w:val="00E87708"/>
    <w:rsid w:val="00E91700"/>
    <w:rsid w:val="00EA12A8"/>
    <w:rsid w:val="00EA27F6"/>
    <w:rsid w:val="00EA6EE6"/>
    <w:rsid w:val="00EB487C"/>
    <w:rsid w:val="00EB4A35"/>
    <w:rsid w:val="00EB56C0"/>
    <w:rsid w:val="00EC4801"/>
    <w:rsid w:val="00EC7F5F"/>
    <w:rsid w:val="00ED261D"/>
    <w:rsid w:val="00EE7B46"/>
    <w:rsid w:val="00EF389B"/>
    <w:rsid w:val="00EF62A7"/>
    <w:rsid w:val="00F00D43"/>
    <w:rsid w:val="00F03BC2"/>
    <w:rsid w:val="00F04752"/>
    <w:rsid w:val="00F0780B"/>
    <w:rsid w:val="00F31093"/>
    <w:rsid w:val="00F34647"/>
    <w:rsid w:val="00F3732B"/>
    <w:rsid w:val="00F37578"/>
    <w:rsid w:val="00F4669D"/>
    <w:rsid w:val="00F51378"/>
    <w:rsid w:val="00F529DE"/>
    <w:rsid w:val="00F536F8"/>
    <w:rsid w:val="00F6052C"/>
    <w:rsid w:val="00F66228"/>
    <w:rsid w:val="00F67387"/>
    <w:rsid w:val="00F674EE"/>
    <w:rsid w:val="00F778F1"/>
    <w:rsid w:val="00F820E1"/>
    <w:rsid w:val="00F8559A"/>
    <w:rsid w:val="00F93EEC"/>
    <w:rsid w:val="00F95B97"/>
    <w:rsid w:val="00FA0772"/>
    <w:rsid w:val="00FA53D2"/>
    <w:rsid w:val="00FA6F92"/>
    <w:rsid w:val="00FB49D0"/>
    <w:rsid w:val="00FB6AC1"/>
    <w:rsid w:val="00FB7807"/>
    <w:rsid w:val="00FC6086"/>
    <w:rsid w:val="00FC7130"/>
    <w:rsid w:val="00FD5C42"/>
    <w:rsid w:val="00FD67D1"/>
    <w:rsid w:val="00FD7A99"/>
    <w:rsid w:val="00FE1935"/>
    <w:rsid w:val="00FE65E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7FC5"/>
  <w15:chartTrackingRefBased/>
  <w15:docId w15:val="{AB873AE1-D641-4B01-986E-EF50DEFA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right="1134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after="280" w:line="480" w:lineRule="auto"/>
      <w:ind w:left="397"/>
      <w:outlineLvl w:val="0"/>
    </w:pPr>
  </w:style>
  <w:style w:type="paragraph" w:styleId="Heading2">
    <w:name w:val="heading 2"/>
    <w:basedOn w:val="Normal"/>
    <w:next w:val="Normal"/>
    <w:qFormat/>
    <w:pPr>
      <w:keepNext/>
      <w:ind w:right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0"/>
      <w:outlineLvl w:val="4"/>
    </w:pPr>
    <w:rPr>
      <w:b/>
      <w:sz w:val="10"/>
    </w:rPr>
  </w:style>
  <w:style w:type="paragraph" w:styleId="Heading6">
    <w:name w:val="heading 6"/>
    <w:basedOn w:val="Normal"/>
    <w:next w:val="Normal"/>
    <w:qFormat/>
    <w:pPr>
      <w:keepNext/>
      <w:ind w:right="0"/>
      <w:jc w:val="right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right="0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right="0"/>
      <w:jc w:val="center"/>
      <w:outlineLvl w:val="8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">
    <w:name w:val="To"/>
    <w:basedOn w:val="Normal"/>
    <w:rPr>
      <w:sz w:val="36"/>
    </w:rPr>
  </w:style>
  <w:style w:type="paragraph" w:customStyle="1" w:styleId="ToCompany">
    <w:name w:val="ToCompany"/>
    <w:basedOn w:val="Normal"/>
    <w:rPr>
      <w:sz w:val="28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">
    <w:name w:val="From"/>
    <w:basedOn w:val="Normal"/>
    <w:pPr>
      <w:tabs>
        <w:tab w:val="left" w:pos="3168"/>
        <w:tab w:val="left" w:pos="7938"/>
      </w:tabs>
      <w:ind w:left="1247"/>
    </w:pPr>
  </w:style>
  <w:style w:type="paragraph" w:customStyle="1" w:styleId="FromCompany">
    <w:name w:val="FromCompany"/>
    <w:basedOn w:val="Normal"/>
    <w:pPr>
      <w:tabs>
        <w:tab w:val="left" w:pos="3168"/>
        <w:tab w:val="left" w:pos="7938"/>
      </w:tabs>
    </w:pPr>
  </w:style>
  <w:style w:type="paragraph" w:customStyle="1" w:styleId="FromPhone">
    <w:name w:val="FromPhone"/>
    <w:basedOn w:val="Normal"/>
    <w:rPr>
      <w:sz w:val="28"/>
    </w:rPr>
  </w:style>
  <w:style w:type="paragraph" w:customStyle="1" w:styleId="FromFax">
    <w:name w:val="FromFax"/>
    <w:basedOn w:val="Normal"/>
    <w:rPr>
      <w:sz w:val="28"/>
    </w:rPr>
  </w:style>
  <w:style w:type="paragraph" w:styleId="Date">
    <w:name w:val="Date"/>
    <w:basedOn w:val="Normal"/>
    <w:pPr>
      <w:tabs>
        <w:tab w:val="left" w:pos="3168"/>
        <w:tab w:val="left" w:pos="7938"/>
      </w:tabs>
      <w:spacing w:before="280"/>
    </w:pPr>
  </w:style>
  <w:style w:type="paragraph" w:customStyle="1" w:styleId="Pages">
    <w:name w:val="Pages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</w:style>
  <w:style w:type="paragraph" w:customStyle="1" w:styleId="DATE2">
    <w:name w:val="DATE2"/>
    <w:basedOn w:val="Normal"/>
    <w:pPr>
      <w:ind w:right="851"/>
      <w:jc w:val="right"/>
    </w:pPr>
  </w:style>
  <w:style w:type="paragraph" w:customStyle="1" w:styleId="Pag2">
    <w:name w:val="Pag2"/>
    <w:basedOn w:val="Normal"/>
    <w:pPr>
      <w:ind w:right="45"/>
      <w:jc w:val="right"/>
    </w:pPr>
    <w:rPr>
      <w:sz w:val="20"/>
    </w:rPr>
  </w:style>
  <w:style w:type="paragraph" w:styleId="BodyText">
    <w:name w:val="Body Text"/>
    <w:basedOn w:val="Normal"/>
    <w:pPr>
      <w:ind w:right="0"/>
    </w:pPr>
  </w:style>
  <w:style w:type="paragraph" w:styleId="BodyText2">
    <w:name w:val="Body Text 2"/>
    <w:basedOn w:val="Normal"/>
    <w:pPr>
      <w:ind w:right="0"/>
    </w:pPr>
    <w:rPr>
      <w:sz w:val="22"/>
    </w:rPr>
  </w:style>
  <w:style w:type="paragraph" w:styleId="BodyText3">
    <w:name w:val="Body Text 3"/>
    <w:basedOn w:val="Normal"/>
    <w:pPr>
      <w:tabs>
        <w:tab w:val="left" w:pos="8820"/>
      </w:tabs>
      <w:ind w:right="60"/>
    </w:pPr>
    <w:rPr>
      <w:bCs/>
      <w:sz w:val="22"/>
      <w:lang w:val="pt-PT"/>
    </w:rPr>
  </w:style>
  <w:style w:type="paragraph" w:styleId="BodyTextIndent">
    <w:name w:val="Body Text Indent"/>
    <w:basedOn w:val="Normal"/>
    <w:pPr>
      <w:widowControl w:val="0"/>
      <w:ind w:right="0" w:firstLine="480"/>
      <w:jc w:val="left"/>
    </w:pPr>
    <w:rPr>
      <w:kern w:val="2"/>
      <w:szCs w:val="24"/>
      <w:lang w:val="en-US" w:eastAsia="zh-TW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6D4F93"/>
    <w:rPr>
      <w:lang w:val="en-GB" w:eastAsia="en-US"/>
    </w:rPr>
  </w:style>
  <w:style w:type="paragraph" w:styleId="Footer">
    <w:name w:val="footer"/>
    <w:basedOn w:val="Normal"/>
    <w:link w:val="Foot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6D4F93"/>
    <w:rPr>
      <w:lang w:val="en-GB" w:eastAsia="en-US"/>
    </w:rPr>
  </w:style>
  <w:style w:type="paragraph" w:styleId="Caption">
    <w:name w:val="caption"/>
    <w:basedOn w:val="Normal"/>
    <w:next w:val="Normal"/>
    <w:qFormat/>
    <w:rsid w:val="0011706C"/>
    <w:pPr>
      <w:framePr w:w="10379" w:h="12833" w:hSpace="181" w:wrap="around" w:vAnchor="text" w:hAnchor="page" w:x="780" w:y="1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0"/>
      <w:jc w:val="center"/>
    </w:pPr>
    <w:rPr>
      <w:rFonts w:ascii="CG Times (WN)" w:hAnsi="CG Times (WN)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45-EBA4-4723-9632-3E34A21A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Curso de “Web Scripting and Publishing with Java Script and  Java Applet (em Cantonense)</vt:lpstr>
    </vt:vector>
  </TitlesOfParts>
  <Company>IPM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“Web Scripting and Publishing with Java Script and  Java Applet (em Cantonense)</dc:title>
  <dc:subject/>
  <dc:creator>Administration Office</dc:creator>
  <cp:keywords/>
  <cp:lastModifiedBy>MPI</cp:lastModifiedBy>
  <cp:revision>3</cp:revision>
  <cp:lastPrinted>2017-06-08T03:46:00Z</cp:lastPrinted>
  <dcterms:created xsi:type="dcterms:W3CDTF">2017-08-01T03:03:00Z</dcterms:created>
  <dcterms:modified xsi:type="dcterms:W3CDTF">2017-08-01T03:05:00Z</dcterms:modified>
</cp:coreProperties>
</file>