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4C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>公開招標</w:t>
      </w:r>
    </w:p>
    <w:p w:rsidR="00C50C38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「招攬第64屆澳門格蘭披治大賽車 - 澳門GT盃冠名贊助」 </w:t>
      </w:r>
    </w:p>
    <w:p w:rsidR="007208FF" w:rsidRPr="00C50C38" w:rsidRDefault="007208FF" w:rsidP="007208FF">
      <w:bookmarkStart w:id="0" w:name="_GoBack"/>
      <w:bookmarkEnd w:id="0"/>
    </w:p>
    <w:sectPr w:rsidR="007208FF" w:rsidRPr="00C50C38" w:rsidSect="00C50C38">
      <w:headerReference w:type="default" r:id="rId6"/>
      <w:footerReference w:type="default" r:id="rId7"/>
      <w:pgSz w:w="11906" w:h="16838"/>
      <w:pgMar w:top="3969" w:right="1800" w:bottom="1440" w:left="1800" w:header="851" w:footer="992" w:gutter="0"/>
      <w:cols w:space="425"/>
      <w:docGrid w:type="lines" w:linePitch="360"/>
    </w:sectPr>
    <w:p>
      <w:pPr/>
    </w:p>
    <w:p>
      <w:pPr/>
      <w:r>
        <w:rPr>
          <w:lang w:val="zh-MO"/>
          <w:b/>
        </w:rPr>
        <w:t>1</w:t>
      </w:r>
      <w:r>
        <w:rPr>
          <w:lang w:val="zh-MO"/>
          <w:b/>
        </w:rPr>
        <w:tab/>
      </w:r>
      <w:r>
        <w:rPr>
          <w:lang w:val="zh-MO"/>
          <w:b/>
        </w:rPr>
        <w:t>適用法律及規範</w:t>
      </w:r>
    </w:p>
    <w:p>
      <w:pPr/>
      <w:r>
        <w:rPr>
          <w:lang w:val="zh-MO"/>
        </w:rPr>
        <w:t>1.1</w:t>
      </w:r>
      <w:r>
        <w:rPr>
          <w:lang w:val="zh-MO"/>
        </w:rPr>
        <w:tab/>
      </w:r>
      <w:r>
        <w:rPr>
          <w:lang w:val="zh-MO"/>
        </w:rPr>
        <w:t xml:space="preserve">獲判給者須遵守招標案卷及協議書的規定。 </w:t>
      </w:r>
    </w:p>
    <w:p>
      <w:pPr/>
      <w:r>
        <w:rPr>
          <w:lang w:val="zh-MO"/>
        </w:rPr>
        <w:t>1.2</w:t>
      </w:r>
      <w:r>
        <w:rPr>
          <w:lang w:val="zh-MO"/>
        </w:rPr>
        <w:tab/>
      </w:r>
      <w:r>
        <w:rPr>
          <w:lang w:val="zh-MO"/>
        </w:rPr>
        <w:t xml:space="preserve">如上款所述的文件有任遺漏之處，均應導守七月六日第 63/85/M 號法 令及澳門特別行政區其他現行適用的法律。 </w:t>
      </w:r>
    </w:p>
    <w:p>
      <w:pPr/>
      <w:r>
        <w:rPr>
          <w:lang w:val="zh-MO"/>
        </w:rPr>
        <w:t>1.3</w:t>
      </w:r>
      <w:r>
        <w:rPr>
          <w:lang w:val="zh-MO"/>
        </w:rPr>
        <w:tab/>
      </w:r>
      <w:r>
        <w:rPr>
          <w:lang w:val="zh-MO"/>
        </w:rPr>
        <w:t xml:space="preserve">獲判給者須切實遵守其他現行及與服務相關的規範。 </w:t>
      </w:r>
    </w:p>
    <w:p>
      <w:pPr/>
      <w:r>
        <w:rPr>
          <w:lang w:val="zh-MO"/>
        </w:rPr>
        <w:t>1.4</w:t>
      </w:r>
      <w:r>
        <w:rPr>
          <w:lang w:val="zh-MO"/>
        </w:rPr>
        <w:tab/>
      </w:r>
      <w:r>
        <w:rPr>
          <w:lang w:val="zh-MO"/>
        </w:rPr>
        <w:t xml:space="preserve">在不影響協議書的規定下，獲判給者須遵守適用於其所提供的服務之 規例、遵守官方機關認可的規格和文件手續，以及生產商或專利實體 的指引。 </w:t>
      </w:r>
    </w:p>
    <w:p>
      <w:pPr/>
    </w:p>
    <w:p>
      <w:pPr/>
      <w:r>
        <w:rPr>
          <w:lang w:val="zh-MO"/>
          <w:b/>
        </w:rPr>
        <w:t>2</w:t>
      </w:r>
      <w:r>
        <w:rPr>
          <w:lang w:val="zh-MO"/>
          <w:b/>
        </w:rPr>
        <w:tab/>
      </w:r>
      <w:r>
        <w:rPr>
          <w:lang w:val="zh-MO"/>
          <w:b/>
        </w:rPr>
        <w:t>解除協議書</w:t>
      </w:r>
    </w:p>
    <w:p>
      <w:pPr/>
      <w:r>
        <w:rPr>
          <w:lang w:val="zh-MO"/>
        </w:rPr>
        <w:t>2.1</w:t>
      </w:r>
      <w:r>
        <w:rPr>
          <w:lang w:val="zh-MO"/>
        </w:rPr>
        <w:tab/>
      </w:r>
      <w:r>
        <w:rPr>
          <w:lang w:val="zh-MO"/>
        </w:rPr>
        <w:t xml:space="preserve">體育局可因下列任何一種情況單方解除協議書，但必須提前以書面方 式通知獲判給者：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a) 如獲判給者沒有履行所承擔義務的任何一項或沒有按時履行所承 擔義務；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b) 獲判給者未經體育局事先書面許可，將協議書全部或部分義務及 責任轉讓給第三者；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c) 獲判給者沒有盡責地履行其所應承擔的義務。</w:t>
      </w:r>
    </w:p>
    <w:p>
      <w:pPr/>
      <w:r>
        <w:rPr>
          <w:lang w:val="zh-MO"/>
        </w:rPr>
        <w:t>2.2</w:t>
      </w:r>
      <w:r>
        <w:rPr>
          <w:lang w:val="zh-MO"/>
        </w:rPr>
        <w:tab/>
      </w:r>
      <w:r>
        <w:rPr>
          <w:lang w:val="zh-MO"/>
        </w:rPr>
        <w:t xml:space="preserve">若獲判給者不遵守上述規定而導致體育局單方面解除協議書時，則獲 判給者無權向體育局追回已支付的款項。 </w:t>
      </w:r>
    </w:p>
    <w:p>
      <w:pPr/>
      <w:r>
        <w:rPr>
          <w:lang w:val="zh-MO"/>
        </w:rPr>
        <w:t>2.3</w:t>
      </w:r>
      <w:r>
        <w:rPr>
          <w:lang w:val="zh-MO"/>
        </w:rPr>
        <w:tab/>
      </w:r>
      <w:r>
        <w:rPr>
          <w:lang w:val="zh-MO"/>
        </w:rPr>
        <w:t xml:space="preserve">若獲判給者不遵守協議書的任何規定，體育局有權單方面解除協議書，  沒收獲判給者的確定保證金，這不妨礙判給實體就損失和損害對其提 出的訴訟。 </w:t>
      </w:r>
    </w:p>
    <w:p>
      <w:pPr/>
      <w:r>
        <w:rPr>
          <w:lang w:val="zh-MO"/>
        </w:rPr>
        <w:t>2.4</w:t>
      </w:r>
      <w:r>
        <w:rPr>
          <w:lang w:val="zh-MO"/>
        </w:rPr>
        <w:tab/>
      </w:r>
      <w:r>
        <w:rPr>
          <w:lang w:val="zh-MO"/>
        </w:rPr>
        <w:t xml:space="preserve">雙方協議解除協議書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雙方可透過協議隨時解除協議書，而透過協定解除協議書之效果應在同一協 議內定出。提出解除協議書的一方必須自解除協議書生效之日起計最少提前 三十(30)個工作天以書面方式通知對方。</w:t>
      </w:r>
    </w:p>
    <w:p>
      <w:pPr/>
    </w:p>
    <w:p>
      <w:pPr/>
      <w:r>
        <w:rPr>
          <w:lang w:val="zh-MO"/>
          <w:b/>
        </w:rPr>
        <w:t>3</w:t>
      </w:r>
      <w:r>
        <w:rPr>
          <w:lang w:val="zh-MO"/>
          <w:b/>
        </w:rPr>
        <w:tab/>
      </w:r>
      <w:r>
        <w:rPr>
          <w:lang w:val="zh-MO"/>
          <w:b/>
        </w:rPr>
        <w:t>獲判給者的義務</w:t>
      </w:r>
    </w:p>
    <w:p>
      <w:pPr/>
      <w:r>
        <w:rPr>
          <w:lang w:val="zh-MO"/>
        </w:rPr>
        <w:t>3.1</w:t>
      </w:r>
      <w:r>
        <w:rPr>
          <w:lang w:val="zh-MO"/>
        </w:rPr>
        <w:tab/>
      </w:r>
      <w:r>
        <w:rPr>
          <w:lang w:val="zh-MO"/>
        </w:rPr>
        <w:t xml:space="preserve">通知義務：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               倘獲判給者未能履行或需要更改有助賽事宣傳的其他附加計劃，由獲悉事件 發生日起計 5 日內，獲判給者應以書面向體育局報告，以便體育局在其能力 範圍內採取措施。</w:t>
      </w:r>
    </w:p>
    <w:p>
      <w:pPr/>
      <w:r>
        <w:rPr>
          <w:lang w:val="zh-MO"/>
        </w:rPr>
        <w:t>3.2</w:t>
      </w:r>
      <w:r>
        <w:rPr>
          <w:lang w:val="zh-MO"/>
        </w:rPr>
        <w:tab/>
      </w:r>
      <w:r>
        <w:rPr>
          <w:lang w:val="zh-MO"/>
        </w:rPr>
        <w:t xml:space="preserve">執行技術規範：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a) 獲判給者當知悉或必須知悉時，在認識到技術規範、體育局的指令、 通告及通知上出現錯漏時，獲判給者應通知體育局；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b) 如未有遵守上項之義務，而又證實獲判者故意或過失地以與正常的 工藝規則不符的方式行為時，由此錯漏引致的後果皆由獲判給者負 責；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c) 獲判給者是唯一對執行技術規範出現的錯誤或缺漏承擔責任的人。 </w:t>
      </w:r>
    </w:p>
    <w:p>
      <w:pPr/>
      <w:r>
        <w:rPr>
          <w:lang w:val="zh-MO"/>
        </w:rPr>
        <w:t>3.3</w:t>
      </w:r>
      <w:r>
        <w:rPr>
          <w:lang w:val="zh-MO"/>
        </w:rPr>
        <w:tab/>
      </w:r>
      <w:r>
        <w:rPr>
          <w:lang w:val="zh-MO"/>
        </w:rPr>
        <w:t xml:space="preserve">履行贊助協議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獲判給者須按雙方已協議的期限付清贊助的總金額。 </w:t>
      </w:r>
    </w:p>
    <w:p>
      <w:pPr>
        <w:sectPr/>
      </w:pPr>
    </w:p>
    <w:p w:rsidR="00DD304C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>concurso público</w:t>
      </w:r>
    </w:p>
    <w:p w:rsidR="00C50C38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>“Angariação de patrocínio para a Taça GT Macau da 64.ª Edição do Grande Prémio de Macau”</w:t>
      </w:r>
    </w:p>
    <w:p w:rsidR="007208FF" w:rsidRPr="00C50C38" w:rsidRDefault="007208FF" w:rsidP="007208FF">
      <w:bookmarkStart w:id="0" w:name="_GoBack"/>
      <w:bookmarkEnd w:id="0"/>
    </w:p>
    <w:sectPr w:rsidR="007208FF" w:rsidRPr="00C50C38" w:rsidSect="00C50C38">
      <w:pgSz w:w="11906" w:h="16838"/>
      <w:pgMar w:top="3969" w:right="1800" w:bottom="1440" w:left="1800" w:header="851" w:footer="992" w:gutter="0"/>
      <w:cols w:space="425"/>
      <w:docGrid w:type="lines" w:linePitch="360"/>
    </w:sectPr>
    <w:p>
      <w:pPr/>
    </w:p>
    <w:p>
      <w:pPr/>
      <w:r>
        <w:rPr>
          <w:lang w:val="zh-MO"/>
          <w:b/>
        </w:rPr>
        <w:t>1</w:t>
      </w:r>
      <w:r>
        <w:rPr>
          <w:lang w:val="zh-MO"/>
          <w:b/>
        </w:rPr>
        <w:tab/>
      </w:r>
      <w:r>
        <w:rPr>
          <w:lang w:val="zh-MO"/>
          <w:b/>
        </w:rPr>
        <w:t>Normas e legislação aplicáveis</w:t>
      </w:r>
    </w:p>
    <w:p>
      <w:pPr/>
      <w:r>
        <w:rPr>
          <w:lang w:val="zh-MO"/>
        </w:rPr>
        <w:t>1.1</w:t>
      </w:r>
      <w:r>
        <w:rPr>
          <w:lang w:val="zh-MO"/>
        </w:rPr>
        <w:tab/>
      </w:r>
      <w:r>
        <w:rPr>
          <w:lang w:val="zh-MO"/>
        </w:rPr>
        <w:t xml:space="preserve">O adjudicatário deve cumprir o estipulado no Processo de Concurso e no acordo. </w:t>
      </w:r>
    </w:p>
    <w:p>
      <w:pPr/>
      <w:r>
        <w:rPr>
          <w:lang w:val="zh-MO"/>
        </w:rPr>
        <w:t>1.2</w:t>
      </w:r>
      <w:r>
        <w:rPr>
          <w:lang w:val="zh-MO"/>
        </w:rPr>
        <w:tab/>
      </w:r>
      <w:r>
        <w:rPr>
          <w:lang w:val="zh-MO"/>
        </w:rPr>
        <w:t xml:space="preserve">Em tudo o que estiver omisso nos documentos referidos no número anterior, observar-se-á o disposto no Decreto-Lei n.º 63/85/M, de 6 de Julho, e na restante legislação aplicável da RAEM. </w:t>
      </w:r>
    </w:p>
    <w:p>
      <w:pPr/>
      <w:r>
        <w:rPr>
          <w:lang w:val="zh-MO"/>
        </w:rPr>
        <w:t>1.3</w:t>
      </w:r>
      <w:r>
        <w:rPr>
          <w:lang w:val="zh-MO"/>
        </w:rPr>
        <w:tab/>
      </w:r>
      <w:r>
        <w:rPr>
          <w:lang w:val="zh-MO"/>
        </w:rPr>
        <w:t xml:space="preserve">O adjudicatário deve cumprir também outra legislação em vigor relacionada com os serviços prestados. </w:t>
      </w:r>
    </w:p>
    <w:p>
      <w:pPr/>
      <w:r>
        <w:rPr>
          <w:lang w:val="zh-MO"/>
        </w:rPr>
        <w:t>1.4</w:t>
      </w:r>
      <w:r>
        <w:rPr>
          <w:lang w:val="zh-MO"/>
        </w:rPr>
        <w:tab/>
      </w:r>
      <w:r>
        <w:rPr>
          <w:lang w:val="zh-MO"/>
        </w:rPr>
        <w:t xml:space="preserve">O adjudicatário deve ainda respeitar outras disposições aplicáveis aos serviços prestados, respeitar os formatos e formalidades documentais exigidos pelas entidades públicas e instruções de eventuais fabricantes de bens ou de entidades de titulares dos direitos patenteados, sem prejuízo das disposições do acordo. </w:t>
      </w:r>
    </w:p>
    <w:p>
      <w:pPr/>
    </w:p>
    <w:p>
      <w:pPr/>
      <w:r>
        <w:rPr>
          <w:lang w:val="zh-MO"/>
          <w:b/>
        </w:rPr>
        <w:t>2</w:t>
      </w:r>
      <w:r>
        <w:rPr>
          <w:lang w:val="zh-MO"/>
          <w:b/>
        </w:rPr>
        <w:tab/>
      </w:r>
      <w:r>
        <w:rPr>
          <w:lang w:val="zh-MO"/>
          <w:b/>
        </w:rPr>
        <w:t>Rescisão do acordo</w:t>
      </w:r>
    </w:p>
    <w:p>
      <w:pPr/>
      <w:r>
        <w:rPr>
          <w:lang w:val="zh-MO"/>
        </w:rPr>
        <w:t>2.1</w:t>
      </w:r>
      <w:r>
        <w:rPr>
          <w:lang w:val="zh-MO"/>
        </w:rPr>
        <w:tab/>
      </w:r>
      <w:r>
        <w:rPr>
          <w:lang w:val="zh-MO"/>
        </w:rPr>
        <w:t xml:space="preserve">O Instituto do Desporto pode rescindir unilateralmente o acordo devido a quaisquer das seguintes situações, desde que notifique, por escrito, com antecedência o adjudicatário: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a) O adjudicatário deixe de cumprir com qualquer uma das obrigações a que ficou vinculado ou deixe de as cumprir atempadamente;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b) O adjudicatário transfira para um terceiro, sem prévio consentimento escrito do Instituto do Desporto, a totalidade ou parte dos deveres e obrigações contratuais a que está obrigado;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c) O adjudicatário cumpra de forma defeituosa as obrigações a que está vinculado. </w:t>
      </w:r>
    </w:p>
    <w:p>
      <w:pPr/>
      <w:r>
        <w:rPr>
          <w:lang w:val="zh-MO"/>
        </w:rPr>
        <w:t>2.2</w:t>
      </w:r>
      <w:r>
        <w:rPr>
          <w:lang w:val="zh-MO"/>
        </w:rPr>
        <w:tab/>
      </w:r>
      <w:r>
        <w:rPr>
          <w:lang w:val="zh-MO"/>
        </w:rPr>
        <w:t>Perante casos de rescisão unilateral por parte do Instituto do Desporto devido à violação dos artigos anteriores pelo adjudicatário, este não tem o direito de exigir ao Instituto do Desporto o reembolso das despesas entretanto efectuadas.</w:t>
      </w:r>
    </w:p>
    <w:p>
      <w:pPr/>
      <w:r>
        <w:rPr>
          <w:lang w:val="zh-MO"/>
        </w:rPr>
        <w:t>2.3</w:t>
      </w:r>
      <w:r>
        <w:rPr>
          <w:lang w:val="zh-MO"/>
        </w:rPr>
        <w:tab/>
      </w:r>
      <w:r>
        <w:rPr>
          <w:lang w:val="zh-MO"/>
        </w:rPr>
        <w:t>Caso o adjudicatário não cumpra quaisquer disposições contratuais, o Instituto do Desporto pode rescindir unilateralmente o contrato, confiscar a caução definitiva, sem prejuízo das acções que a entidade adjudicante entenda dever instaurar-lhe por perdas e danos.</w:t>
      </w:r>
    </w:p>
    <w:p>
      <w:pPr/>
      <w:r>
        <w:rPr>
          <w:lang w:val="zh-MO"/>
        </w:rPr>
        <w:t>2.4</w:t>
      </w:r>
      <w:r>
        <w:rPr>
          <w:lang w:val="zh-MO"/>
        </w:rPr>
        <w:tab/>
      </w:r>
      <w:r>
        <w:rPr>
          <w:lang w:val="zh-MO"/>
        </w:rPr>
        <w:t>Rescisão do acordo por mútuo consentimento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As partes podem, por mútuo consentimento e em qualquer momento, resolver o acordo, devendo os efeitos de tal resolução ser fixados no mesmo acordo. A parte que toma a iniciativa deve informar a outra parte por escrita com uma antecedência mínima de 30 dias úteis sobre a data para a produção de efeitos da resolução.</w:t>
      </w:r>
    </w:p>
    <w:p>
      <w:pPr/>
    </w:p>
    <w:p>
      <w:pPr/>
      <w:r>
        <w:rPr>
          <w:lang w:val="zh-MO"/>
          <w:b/>
        </w:rPr>
        <w:t>3</w:t>
      </w:r>
      <w:r>
        <w:rPr>
          <w:lang w:val="zh-MO"/>
          <w:b/>
        </w:rPr>
        <w:tab/>
      </w:r>
      <w:r>
        <w:rPr>
          <w:lang w:val="zh-MO"/>
          <w:b/>
        </w:rPr>
        <w:t>Deveres do adjudicatário</w:t>
      </w:r>
    </w:p>
    <w:p>
      <w:pPr/>
      <w:r>
        <w:rPr>
          <w:lang w:val="zh-MO"/>
        </w:rPr>
        <w:t>3.1</w:t>
      </w:r>
      <w:r>
        <w:rPr>
          <w:lang w:val="zh-MO"/>
        </w:rPr>
        <w:tab/>
      </w:r>
      <w:r>
        <w:rPr>
          <w:lang w:val="zh-MO"/>
        </w:rPr>
        <w:t xml:space="preserve">Dever de comunicação: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O adjudicatário deve informar por escrito o Instituto do Desporto, caso não for possível cumprir o plano adicional para a promoção da Corrida ou necessita de introduzir alterações sobre o plano, no prazo de 5 dias a partir da data da ocorrência, para que o Instituto do Desporto adopte as medidas necessárias;</w:t>
      </w:r>
    </w:p>
    <w:p>
      <w:pPr/>
      <w:r>
        <w:rPr>
          <w:lang w:val="zh-MO"/>
        </w:rPr>
        <w:t>3.2</w:t>
      </w:r>
      <w:r>
        <w:rPr>
          <w:lang w:val="zh-MO"/>
        </w:rPr>
        <w:tab/>
      </w:r>
      <w:r>
        <w:rPr>
          <w:lang w:val="zh-MO"/>
        </w:rPr>
        <w:t xml:space="preserve">Implementação das Normas Técnicas: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a) Assim que tiver conhecimento ou for informado, o adjudicatário deve comunicar ao Instituto do Desporto quaisquer erros ou omissões que julgue existirem nas Normas Técnicas, bem como nas ordens, avisos e nas notificações do Instituto do Desporto;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b) A falta de cumprimento da obrigação estabelecida na alínea anterior torna o adjudicatário responsável pelas consequências do erro ou da omissão, se se provar que agiu com dolo ou negligência incompatível com o normal conhecimento das regras de arte;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>c) O adjudicatário é o único responsável pelos erros e omissões na execução das Normas Técnicas.</w:t>
      </w:r>
    </w:p>
    <w:p>
      <w:pPr/>
      <w:r>
        <w:rPr>
          <w:lang w:val="zh-MO"/>
        </w:rPr>
        <w:t>3.3</w:t>
      </w:r>
      <w:r>
        <w:rPr>
          <w:lang w:val="zh-MO"/>
        </w:rPr>
        <w:tab/>
      </w:r>
      <w:r>
        <w:rPr>
          <w:lang w:val="zh-MO"/>
        </w:rPr>
        <w:t xml:space="preserve">Cumprimento do acordo do patrocínio </w:t>
      </w:r>
      <w:r>
        <w:rPr>
          <w:lang w:val="zh-MO"/>
        </w:rPr>
        <w:br/>
      </w:r>
      <w:r>
        <w:rPr>
          <w:lang w:val="zh-MO"/>
        </w:rPr>
        <w:br/>
      </w:r>
      <w:r>
        <w:rPr>
          <w:lang w:val="zh-MO"/>
        </w:rPr>
        <w:t xml:space="preserve">O adjudicatário necessita de efectuar o valor total de patrocínio dentro do prazo acordado pelas ambas as partes.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4A" w:rsidRDefault="00E40B4A" w:rsidP="00C50C38">
      <w:r>
        <w:separator/>
      </w:r>
    </w:p>
  </w:endnote>
  <w:endnote w:type="continuationSeparator" w:id="0">
    <w:p w:rsidR="00E40B4A" w:rsidRDefault="00E40B4A" w:rsidP="00C5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FF" w:rsidRDefault="007208FF">
    <w:pPr>
      <w:pStyle w:val="Footer"/>
      <w:jc w:val="center"/>
      <w:rPr>
        <w:caps/>
        <w:noProof/>
        <w:color w:val="4472C4" w:themeColor="accent1"/>
      </w:rPr>
    </w:pPr>
    <w:r>
      <w:rPr>
        <w:rFonts w:hint="eastAsia"/>
        <w:caps/>
        <w:color w:val="4472C4" w:themeColor="accent1"/>
      </w:rPr>
      <w:t>第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264C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rFonts w:hint="eastAsia"/>
        <w:caps/>
        <w:noProof/>
        <w:color w:val="4472C4" w:themeColor="accent1"/>
      </w:rPr>
      <w:t>頁</w:t>
    </w:r>
  </w:p>
  <w:p w:rsidR="007208FF" w:rsidRDefault="0072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4A" w:rsidRDefault="00E40B4A" w:rsidP="00C50C38">
      <w:r>
        <w:separator/>
      </w:r>
    </w:p>
  </w:footnote>
  <w:footnote w:type="continuationSeparator" w:id="0">
    <w:p w:rsidR="00E40B4A" w:rsidRDefault="00E40B4A" w:rsidP="00C5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C38" w:rsidRDefault="00264CF3" w:rsidP="00C50C38">
    <w:pPr>
      <w:pStyle w:val="Header"/>
      <w:ind w:right="800"/>
    </w:pPr>
    <w:r w:rsidRPr="00C50C38">
      <w:rPr>
        <w:rFonts w:hint="eastAsia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175E1E5" wp14:editId="7267D525">
          <wp:simplePos x="0" y="0"/>
          <wp:positionH relativeFrom="margin">
            <wp:align>center</wp:align>
          </wp:positionH>
          <wp:positionV relativeFrom="paragraph">
            <wp:posOffset>-533400</wp:posOffset>
          </wp:positionV>
          <wp:extent cx="4391025" cy="22288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go 體育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402" b="96154" l="1302" r="99566">
                                <a14:foregroundMark x1="43601" y1="17949" x2="53579" y2="9829"/>
                                <a14:foregroundMark x1="8894" y1="55128" x2="78308" y2="56410"/>
                                <a14:foregroundMark x1="78308" y1="56410" x2="94794" y2="55983"/>
                                <a14:foregroundMark x1="24729" y1="45299" x2="67896" y2="42735"/>
                                <a14:foregroundMark x1="67896" y1="42735" x2="57484" y2="51709"/>
                                <a14:foregroundMark x1="57484" y1="51709" x2="29718" y2="50427"/>
                                <a14:foregroundMark x1="29718" y1="50427" x2="55531" y2="52137"/>
                                <a14:foregroundMark x1="55531" y1="52137" x2="1518" y2="47436"/>
                                <a14:foregroundMark x1="1518" y1="47436" x2="46204" y2="47436"/>
                                <a14:foregroundMark x1="46204" y1="47436" x2="26030" y2="47863"/>
                                <a14:foregroundMark x1="26030" y1="47863" x2="90022" y2="48718"/>
                                <a14:foregroundMark x1="90022" y1="48718" x2="68113" y2="47009"/>
                                <a14:foregroundMark x1="68113" y1="47009" x2="68547" y2="44872"/>
                                <a14:foregroundMark x1="6941" y1="55983" x2="54230" y2="60684"/>
                                <a14:foregroundMark x1="54230" y1="60684" x2="78308" y2="58974"/>
                                <a14:foregroundMark x1="78308" y1="58974" x2="89154" y2="58974"/>
                                <a14:foregroundMark x1="89154" y1="58974" x2="77007" y2="56410"/>
                                <a14:foregroundMark x1="77007" y1="56410" x2="66594" y2="45726"/>
                                <a14:foregroundMark x1="66594" y1="45726" x2="71800" y2="46581"/>
                                <a14:foregroundMark x1="35575" y1="79915" x2="62690" y2="77350"/>
                                <a14:foregroundMark x1="62690" y1="77350" x2="48373" y2="76496"/>
                                <a14:foregroundMark x1="48373" y1="76496" x2="63341" y2="76496"/>
                                <a14:foregroundMark x1="63341" y1="76496" x2="51193" y2="87607"/>
                                <a14:foregroundMark x1="51193" y1="87607" x2="31887" y2="87607"/>
                                <a14:foregroundMark x1="31887" y1="87607" x2="58351" y2="88462"/>
                                <a14:foregroundMark x1="58351" y1="88462" x2="47505" y2="93162"/>
                                <a14:foregroundMark x1="47505" y1="93162" x2="36226" y2="91453"/>
                                <a14:foregroundMark x1="36226" y1="91453" x2="60738" y2="96154"/>
                                <a14:foregroundMark x1="60738" y1="96154" x2="48156" y2="95299"/>
                                <a14:foregroundMark x1="48156" y1="95299" x2="63991" y2="95299"/>
                                <a14:foregroundMark x1="63991" y1="95299" x2="51410" y2="95299"/>
                                <a14:foregroundMark x1="51410" y1="95299" x2="69631" y2="93162"/>
                                <a14:foregroundMark x1="69631" y1="93162" x2="56399" y2="88889"/>
                                <a14:foregroundMark x1="56399" y1="88889" x2="73970" y2="85897"/>
                                <a14:foregroundMark x1="73970" y1="85897" x2="34056" y2="79060"/>
                                <a14:foregroundMark x1="34056" y1="79060" x2="57701" y2="81197"/>
                                <a14:foregroundMark x1="57701" y1="81197" x2="44252" y2="75641"/>
                                <a14:foregroundMark x1="44252" y1="75641" x2="60304" y2="73932"/>
                                <a14:foregroundMark x1="60304" y1="73932" x2="40781" y2="73932"/>
                                <a14:foregroundMark x1="40781" y1="73932" x2="51844" y2="79915"/>
                                <a14:foregroundMark x1="51844" y1="79915" x2="29501" y2="58120"/>
                                <a14:foregroundMark x1="29501" y1="58120" x2="4989" y2="57692"/>
                                <a14:foregroundMark x1="4989" y1="57692" x2="71584" y2="62821"/>
                                <a14:foregroundMark x1="71584" y1="62821" x2="95228" y2="58120"/>
                                <a14:foregroundMark x1="95228" y1="58120" x2="88720" y2="57265"/>
                                <a14:foregroundMark x1="75488" y1="45726" x2="75488" y2="45726"/>
                                <a14:foregroundMark x1="25380" y1="44017" x2="36443" y2="43590"/>
                                <a14:foregroundMark x1="36443" y1="43590" x2="21692" y2="44444"/>
                                <a14:foregroundMark x1="21692" y1="44444" x2="90456" y2="49145"/>
                                <a14:foregroundMark x1="70716" y1="45726" x2="86551" y2="45726"/>
                                <a14:foregroundMark x1="86551" y1="45726" x2="85683" y2="46581"/>
                                <a14:foregroundMark x1="68764" y1="44017" x2="70065" y2="43590"/>
                                <a14:foregroundMark x1="77657" y1="43590" x2="70499" y2="42308"/>
                                <a14:foregroundMark x1="33189" y1="89316" x2="34707" y2="96154"/>
                                <a14:foregroundMark x1="90239" y1="66239" x2="99566" y2="95299"/>
                                <a14:foregroundMark x1="93275" y1="51282" x2="98698" y2="5256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1025" cy="2228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8"/>
    <w:rsid w:val="00264CF3"/>
    <w:rsid w:val="003264C9"/>
    <w:rsid w:val="0068185F"/>
    <w:rsid w:val="007208FF"/>
    <w:rsid w:val="007F34D8"/>
    <w:rsid w:val="0082534E"/>
    <w:rsid w:val="0098467A"/>
    <w:rsid w:val="00BF4234"/>
    <w:rsid w:val="00C50C38"/>
    <w:rsid w:val="00CF5693"/>
    <w:rsid w:val="00E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4348"/>
  <w15:chartTrackingRefBased/>
  <w15:docId w15:val="{F32BFB66-B3F7-4371-BC67-212977D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0C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0C38"/>
    <w:rPr>
      <w:sz w:val="20"/>
      <w:szCs w:val="20"/>
    </w:rPr>
  </w:style>
  <w:style w:type="paragraph" w:styleId="NoSpacing">
    <w:name w:val="No Spacing"/>
    <w:uiPriority w:val="1"/>
    <w:qFormat/>
    <w:rsid w:val="00C50C3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</dc:creator>
  <cp:keywords/>
  <dc:description/>
  <cp:lastModifiedBy>MPI</cp:lastModifiedBy>
  <cp:revision>7</cp:revision>
  <dcterms:created xsi:type="dcterms:W3CDTF">2017-07-26T11:24:00Z</dcterms:created>
  <dcterms:modified xsi:type="dcterms:W3CDTF">2017-07-26T14:04:00Z</dcterms:modified>
</cp:coreProperties>
</file>