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Network Security (CS 702)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Reema Patel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Implement ICMP Flood (DoS) Attack in snort. Submit the pdf document mentioning snort rules, and other commands/processes to implement the ICMP flood attack in Snort.</w:t>
      </w:r>
    </w:p>
    <w:p w:rsidR="00000000" w:rsidDel="00000000" w:rsidP="00000000" w:rsidRDefault="00000000" w:rsidRPr="00000000" w14:paraId="00000020">
      <w:pPr>
        <w:pStyle w:val="Heading2"/>
        <w:ind w:firstLine="19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TCP SYN Flood Attack:</w:t>
      </w:r>
      <w:r w:rsidDel="00000000" w:rsidR="00000000" w:rsidRPr="00000000">
        <w:rPr>
          <w:rtl w:val="0"/>
        </w:rPr>
        <w:t xml:space="preserve"> Detects a high number of SYN packets to port 80 from a single source, indicating a potential SYN flood DoS attack.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Exploits the TCP three-way handshake by sending excessive SYN requests to overwhelm the server.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Initiates SYN requests but does not send ACK responses, leaving connections half-open.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Consumes server resources, preventing legitimate connections and causing service disruptions.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192"/>
        <w:rPr/>
      </w:pPr>
      <w:bookmarkStart w:colFirst="0" w:colLast="0" w:name="_heading=h.h59ncdusu0rw" w:id="1"/>
      <w:bookmarkEnd w:id="1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27">
      <w:pPr>
        <w:pStyle w:val="Heading3"/>
        <w:spacing w:after="80" w:before="280" w:lineRule="auto"/>
        <w:ind w:left="0" w:right="0"/>
        <w:jc w:val="left"/>
        <w:rPr>
          <w:rFonts w:ascii="Consolas" w:cs="Consolas" w:eastAsia="Consolas" w:hAnsi="Consolas"/>
        </w:rPr>
      </w:pPr>
      <w:bookmarkStart w:colFirst="0" w:colLast="0" w:name="_heading=h.u5jjutqy8n6c" w:id="2"/>
      <w:bookmarkEnd w:id="2"/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Step 1: Install Snort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apt-get update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apt-get install snort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80" w:before="280" w:lineRule="auto"/>
        <w:ind w:left="0" w:right="0"/>
        <w:jc w:val="left"/>
        <w:rPr>
          <w:rFonts w:ascii="Consolas" w:cs="Consolas" w:eastAsia="Consolas" w:hAnsi="Consolas"/>
        </w:rPr>
      </w:pPr>
      <w:bookmarkStart w:colFirst="0" w:colLast="0" w:name="_heading=h.w76ljzyr0te8" w:id="3"/>
      <w:bookmarkEnd w:id="3"/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Step 2: Create Rule for SYN Flood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 tcp $EXTERNAL_NET any -&gt; $HOME_NET 80 (msg:"SYN Flood Detected"; flags:S; detection_filter:track by_src, count 100, seconds 1; sid:1000004;)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 icmp $EXTERNAL_NET any -&gt; $HOME_NET any (msg:"ICMP Flood Detected"; detection_filter:track by_src, count 100, seconds 1; sid:1000001;)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80" w:before="280" w:lineRule="auto"/>
        <w:ind w:left="0" w:right="0"/>
        <w:jc w:val="left"/>
        <w:rPr>
          <w:rFonts w:ascii="Consolas" w:cs="Consolas" w:eastAsia="Consolas" w:hAnsi="Consolas"/>
          <w:sz w:val="26"/>
          <w:szCs w:val="26"/>
        </w:rPr>
      </w:pPr>
      <w:bookmarkStart w:colFirst="0" w:colLast="0" w:name="_heading=h.kz6mllnje091" w:id="4"/>
      <w:bookmarkEnd w:id="4"/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Step 3: Update Snort Configuration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Elevate folder privileges: sudo chmod 777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/etc/snort/rules/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Elevate file privileges: sudo chmod 777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/etc/snort/rules/tcp_syn_flood.rules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tcp_syn_flood.rules: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sudo nano /etc/snort/rules/tcp_syn_flood.rules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 rule to snort.conf: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sudo nano /etc/snort/snort.conf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Ensure: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include $RULE_PATH/tcp_syn_flood.rules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80" w:before="280" w:lineRule="auto"/>
        <w:ind w:left="0" w:right="0"/>
        <w:jc w:val="left"/>
        <w:rPr>
          <w:rFonts w:ascii="Consolas" w:cs="Consolas" w:eastAsia="Consolas" w:hAnsi="Consolas"/>
        </w:rPr>
      </w:pPr>
      <w:bookmarkStart w:colFirst="0" w:colLast="0" w:name="_heading=h.7bqz52t5wzm4" w:id="5"/>
      <w:bookmarkEnd w:id="5"/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Step 4: Run Snort in IDS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snort -A console -c /etc/snort/snort.conf -i 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80" w:before="280" w:lineRule="auto"/>
        <w:ind w:left="0" w:right="0"/>
        <w:jc w:val="left"/>
        <w:rPr>
          <w:rFonts w:ascii="Consolas" w:cs="Consolas" w:eastAsia="Consolas" w:hAnsi="Consolas"/>
        </w:rPr>
      </w:pPr>
      <w:bookmarkStart w:colFirst="0" w:colLast="0" w:name="_heading=h.4ewec560gq91" w:id="6"/>
      <w:bookmarkEnd w:id="6"/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Step 5: Test Detection with hping3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hping3 -S --flood -p 80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127.0.0.1</w:t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Testcase 1: Testing TCP SYN Flood Attack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alert tcp $EXTERNAL_NET any -&gt; $HOME_NET 80 (msg:"SYN Flood Detected"; flags:S; threshold: type both, track by_src, count 100, seconds 1; sid:1000001;)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Test Command: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sudo hping3 -S --flood -p 80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Explanation: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rule detects a SYN flood by counting 100 SYN packets from the same source to port 80 within 1 second, triggering an alert for potential attack.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firstLine="192"/>
        <w:rPr/>
      </w:pPr>
      <w:bookmarkStart w:colFirst="0" w:colLast="0" w:name="_heading=h.nidxmzfsb290" w:id="7"/>
      <w:bookmarkEnd w:id="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firstLine="192"/>
        <w:rPr>
          <w:rFonts w:ascii="Consolas" w:cs="Consolas" w:eastAsia="Consolas" w:hAnsi="Consolas"/>
          <w:b w:val="1"/>
          <w:sz w:val="24"/>
          <w:szCs w:val="24"/>
        </w:rPr>
      </w:pPr>
      <w:bookmarkStart w:colFirst="0" w:colLast="0" w:name="_heading=h.x803f3cyy13a" w:id="8"/>
      <w:bookmarkEnd w:id="8"/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6188400" cy="3086100"/>
            <wp:effectExtent b="25400" l="25400" r="25400" t="2540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08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firstLine="192"/>
        <w:rPr/>
      </w:pPr>
      <w:bookmarkStart w:colFirst="0" w:colLast="0" w:name="_heading=h.xr9sbl9jpcq7" w:id="9"/>
      <w:bookmarkEnd w:id="9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Snort rules efficiently detect SYN flood attacks and other network threats.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 can be tailored to detect various protocols and attack types.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 enables immediate alerts, allowing for quick incident response.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 is suitable for both small and large networks with adjustable rule sets.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 applies to intrusion detection, network monitoring, and traffic analysis.</w:t>
      </w:r>
    </w:p>
    <w:sectPr>
      <w:footerReference r:id="rId9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gAp/MqQONfsy5jm6BI57j4Bng==">CgMxLjAyDmgudWUyNWN2OTBtazdrMg5oLmg1OW5jZHVzdTBydzIOaC51NWpqdXRxeThuNmMyDmgudzc2bGp6eXIwdGU4Mg5oLmt6Nm1sbG5qZTA5MTIOaC43YnF6NTJ0NXd6bTQyDmguNGV3ZWM1NjBncTkxMg5oLm5pZHhtemZzYjI5MDIOaC54ODAzZjNjeXkxM2EyDmgueHI5c2JsOWpwY3E3OAByITFmQmZOdkQ4d1hZMmZ4YTIxMkJ6REtvSzFLUm9LbTJUbw==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