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6 October 2026</w:t>
      </w:r>
    </w:p>
    <w:p>
      <w:pPr>
        <w:pStyle w:val="BodyText"/>
      </w:pPr>
      <w:r>
        <w:t xml:space="preserve">The Editors</w:t>
      </w:r>
      <w:r>
        <w:br/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narrative embeddings</w:t>
      </w:r>
      <w:r>
        <w:t xml:space="preserve"> </w:t>
      </w:r>
      <w:r>
        <w:t xml:space="preserve">did not demonstrate superior discrimination over structured feature vectors.</w:t>
      </w:r>
      <w:r>
        <w:t xml:space="preserve"> </w:t>
      </w:r>
      <w:r>
        <w:t xml:space="preserve">Embedded logistic regression reached a receiver operating characteristic area under the curve (ROC AUC) of 0.657 (95% CI</w:t>
      </w:r>
      <w:r>
        <w:t xml:space="preserve"> </w:t>
      </w:r>
      <w:r>
        <w:t xml:space="preserve">0.643–0.672). Feature-vector XGBoost reached 0.649 (95% CI 0.634–0.664).</w:t>
      </w:r>
      <w:r>
        <w:t xml:space="preserve"> </w:t>
      </w:r>
      <w:r>
        <w:t xml:space="preserve">Their paired difference was 0.008 (95% CI −0.003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0.629–0.660) to 0.657</w:t>
      </w:r>
      <w:r>
        <w:t xml:space="preserve"> </w:t>
      </w:r>
      <w:r>
        <w:t xml:space="preserve">(95% CI 0.643–0.672).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the primary encoder at similarity exponent 1, 0.625 (95% CI</w:t>
      </w:r>
      <w:r>
        <w:t xml:space="preserve"> </w:t>
      </w:r>
      <w:r>
        <w:t xml:space="preserve">0.610–0.641),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(2.5th–97.5th percentile across 1,000 draws</w:t>
      </w:r>
      <w:r>
        <w:t xml:space="preserve"> </w:t>
      </w:r>
      <w:r>
        <w:t xml:space="preserve">0.484–0.515).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Ethics/IRB, funding,</w:t>
      </w:r>
      <w:r>
        <w:t xml:space="preserve"> </w:t>
      </w:r>
      <w:r>
        <w:t xml:space="preserve">and conflict of interest statements are provided in the manuscript’s</w:t>
      </w:r>
      <w:r>
        <w:t xml:space="preserve"> </w:t>
      </w:r>
      <w:r>
        <w:t xml:space="preserve">Ethical Considerations, Funding, and Conflicts of Interest sections: no</w:t>
      </w:r>
      <w:r>
        <w:t xml:space="preserve"> </w:t>
      </w:r>
      <w:r>
        <w:t xml:space="preserve">conflicts of interest are declared; the work was funded 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without direct identifiers,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mferguson@laureateinstitute.org</w:t>
      </w:r>
      <w:r>
        <w:br/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2026-10-06T11:09:29Z</dcterms:created>
  <dcterms:modified xsi:type="dcterms:W3CDTF">2026-10-06T11:09:29Z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