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145.png" ContentType="image/png"/>
  <Override PartName="/word/media/rId148.png" ContentType="image/png"/>
  <Override PartName="/word/media/rId118.png" ContentType="image/png"/>
  <Override PartName="/word/media/rId121.png" ContentType="image/png"/>
  <Override PartName="/word/media/rId202.png" ContentType="image/png"/>
  <Override PartName="/word/media/rId61.png" ContentType="image/png"/>
  <Override PartName="/word/media/rId64.png" ContentType="image/png"/>
  <Override PartName="/word/media/rId182.png" ContentType="image/png"/>
  <Override PartName="/word/media/rId185.png" ContentType="image/png"/>
  <Override PartName="/word/media/rId86.png" ContentType="image/png"/>
  <Override PartName="/word/media/rId27.png" ContentType="image/png"/>
  <Override PartName="/word/media/rId23.png" ContentType="image/png"/>
  <Override PartName="/word/media/rId195.png" ContentType="image/png"/>
  <Override PartName="/word/media/rId189.png" ContentType="image/png"/>
  <Override PartName="/word/media/rId37.png" ContentType="image/png"/>
  <Override PartName="/word/media/rId31.png" ContentType="image/png"/>
  <Override PartName="/word/media/rId34.png" ContentType="image/png"/>
  <Override PartName="/word/media/rId40.png" ContentType="image/png"/>
  <Override PartName="/word/media/rId192.png" ContentType="image/png"/>
  <Override PartName="/word/media/rId198.png" ContentType="image/png"/>
  <Override PartName="/word/media/rId67.png" ContentType="image/png"/>
  <Override PartName="/word/media/rId70.png" ContentType="image/png"/>
  <Override PartName="/word/media/rId73.png" ContentType="image/png"/>
  <Override PartName="/word/media/rId124.png" ContentType="image/png"/>
  <Override PartName="/word/media/rId127.png" ContentType="image/png"/>
  <Override PartName="/word/media/rId130.png" ContentType="image/png"/>
  <Override PartName="/word/media/rId51.png" ContentType="image/png"/>
  <Override PartName="/word/media/rId54.png" ContentType="image/png"/>
  <Override PartName="/word/media/rId57.png" ContentType="image/png"/>
  <Override PartName="/word/media/rId97.png" ContentType="image/png"/>
  <Override PartName="/word/media/rId100.png" ContentType="image/png"/>
  <Override PartName="/word/media/rId103.png" ContentType="image/png"/>
  <Override PartName="/word/media/rId45.png" ContentType="image/png"/>
  <Override PartName="/word/media/rId48.png" ContentType="image/png"/>
  <Override PartName="/word/media/rId176.png" ContentType="image/png"/>
  <Override PartName="/word/media/rId179.png" ContentType="image/png"/>
  <Override PartName="/word/media/rId80.png" ContentType="image/png"/>
  <Override PartName="/word/media/rId139.png" ContentType="image/png"/>
  <Override PartName="/word/media/rId142.png" ContentType="image/png"/>
  <Override PartName="/word/media/rId112.png" ContentType="image/png"/>
  <Override PartName="/word/media/rId115.png" ContentType="image/png"/>
  <Override PartName="/word/media/rId77.png" ContentType="image/png"/>
  <Override PartName="/word/media/rId133.png" ContentType="image/png"/>
  <Override PartName="/word/media/rId136.png" ContentType="image/png"/>
  <Override PartName="/word/media/rId106.png" ContentType="image/png"/>
  <Override PartName="/word/media/rId109.png" ContentType="image/png"/>
  <Override PartName="/word/media/rId92.png" ContentType="image/png"/>
  <Override PartName="/word/media/rId89.png" ContentType="image/png"/>
  <Override PartName="/word/media/rId155.png" ContentType="image/png"/>
  <Override PartName="/word/media/rId158.png" ContentType="image/png"/>
  <Override PartName="/word/media/rId152.png" ContentType="image/png"/>
  <Override PartName="/word/media/rId161.png" ContentType="image/png"/>
  <Override PartName="/word/media/rId1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_contents"/>
    <w:p>
      <w:pPr>
        <w:pStyle w:val="Heading1"/>
      </w:pPr>
      <w:r>
        <w:t xml:space="preserve">Contents</w:t>
      </w:r>
    </w:p>
    <w:p>
      <w:pPr>
        <w:pStyle w:val="FirstParagraph"/>
      </w:pPr>
      <w:r>
        <w:t xml:space="preserve">M1–M13 Detailed methods and predictor inventory</w:t>
      </w:r>
      <w:r>
        <w:br/>
      </w:r>
      <w:r>
        <w:t xml:space="preserve">S1 Embedding dimensionality</w:t>
      </w:r>
      <w:r>
        <w:br/>
      </w:r>
      <w:r>
        <w:t xml:space="preserve">S2–S3 Precision–recall performance and calibration</w:t>
      </w:r>
      <w:r>
        <w:br/>
      </w:r>
      <w:r>
        <w:t xml:space="preserve">S4–S5 Similarity geometry and example narratives</w:t>
      </w:r>
      <w:r>
        <w:br/>
      </w:r>
      <w:r>
        <w:t xml:space="preserve">S6 Neighbor prediction</w:t>
      </w:r>
      <w:r>
        <w:br/>
      </w:r>
      <w:r>
        <w:t xml:space="preserve">S7–S8 Record length and sample comparability</w:t>
      </w:r>
      <w:r>
        <w:br/>
      </w:r>
      <w:r>
        <w:t xml:space="preserve">S9–S11 Subgroup performance, field crosswalk, and cohort characteristics</w:t>
      </w:r>
      <w:r>
        <w:br/>
      </w:r>
      <w:r>
        <w:t xml:space="preserve">S12 Additional model diagnostics and encoder estimates</w:t>
      </w:r>
    </w:p>
    <w:p>
      <w:pPr>
        <w:pStyle w:val="BodyText"/>
      </w:pPr>
      <w:r>
        <w:t xml:space="preserve">This appendix provides detailed methods, supporting analyses, and results for the comparison of structured feature vectors and narrative embeddings. Sections M1–M13 describe the methods and predictor inventory; sections S1–S12 report supporting analyses and extended results. TRD denotes the treatment-switching proxy defined in section M3, not symptom-confirmed treatment-resistant depression. FEATURE and EMBEDDED identify the structured and narrative pipelines, respectively.</w:t>
      </w:r>
    </w:p>
    <w:bookmarkEnd w:id="9"/>
    <w:bookmarkStart w:id="10" w:name="_189de71b1662f53e83c473ec8dc0507259a7700"/>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95% CI 19.9–20.1) with and 401,298 (80.0%, 95% CI 79.9–80.1) without a problem-list depression flag.</w:t>
      </w:r>
    </w:p>
    <w:p>
      <w:pPr>
        <w:pStyle w:val="BodyText"/>
      </w:pPr>
      <w:r>
        <w:t xml:space="preserve">Sampling used problem-list flags, whereas eligibility used encounter diagnoses. Of 42,579 eligible patients, 12,530 (29.4%, 95% CI 29.0–29.9)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10"/>
    <w:bookmarkStart w:id="11" w:name="_d0e0b7bfe2696c104d06d8df71b7dde83e6b7a6"/>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Remaining</w:t>
            </w:r>
          </w:p>
        </w:tc>
        <w:tc>
          <w:tcPr/>
          <w:p>
            <w:pPr>
              <w:pStyle w:val="Compact"/>
              <w:jc w:val="left"/>
            </w:pPr>
            <w:r>
              <w:rPr>
                <w:b/>
                <w:bCs/>
              </w:rPr>
              <w:t xml:space="preserve">Rejected at stage</w:t>
            </w:r>
          </w:p>
        </w:tc>
      </w:tr>
      <w:tr>
        <w:tc>
          <w:tcPr/>
          <w:p>
            <w:pPr>
              <w:pStyle w:val="Compact"/>
              <w:jc w:val="left"/>
            </w:pPr>
            <w:r>
              <w:t xml:space="preserve">Delivered extract (4:1 case-enriched)</w:t>
            </w:r>
          </w:p>
        </w:tc>
        <w:tc>
          <w:tcPr/>
          <w:p>
            <w:pPr>
              <w:pStyle w:val="Compact"/>
              <w:jc w:val="left"/>
            </w:pPr>
            <w:r>
              <w:t xml:space="preserve">501,718</w:t>
            </w:r>
          </w:p>
        </w:tc>
        <w:tc>
          <w:tcPr/>
          <w:p>
            <w:pPr>
              <w:pStyle w:val="Compact"/>
              <w:jc w:val="left"/>
            </w:pPr>
            <w:r>
              <w:t xml:space="preserve">—</w:t>
            </w:r>
          </w:p>
        </w:tc>
      </w:tr>
      <w:tr>
        <w:tc>
          <w:tcPr/>
          <w:p>
            <w:pPr>
              <w:pStyle w:val="Compact"/>
              <w:jc w:val="left"/>
            </w:pPr>
            <w:r>
              <w:t xml:space="preserve">MDD-diagnosed</w:t>
            </w:r>
          </w:p>
        </w:tc>
        <w:tc>
          <w:tcPr/>
          <w:p>
            <w:pPr>
              <w:pStyle w:val="Compact"/>
              <w:jc w:val="left"/>
            </w:pPr>
            <w:r>
              <w:t xml:space="preserve">144,110</w:t>
            </w:r>
          </w:p>
        </w:tc>
        <w:tc>
          <w:tcPr/>
          <w:p>
            <w:pPr>
              <w:pStyle w:val="Compact"/>
              <w:jc w:val="left"/>
            </w:pPr>
            <w:r>
              <w:t xml:space="preserve">357,608</w:t>
            </w:r>
          </w:p>
        </w:tc>
      </w:tr>
      <w:tr>
        <w:tc>
          <w:tcPr/>
          <w:p>
            <w:pPr>
              <w:pStyle w:val="Compact"/>
              <w:jc w:val="left"/>
            </w:pPr>
            <w:r>
              <w:t xml:space="preserve">Not bipolar AND not schizophrenia-spectrum</w:t>
            </w:r>
          </w:p>
        </w:tc>
        <w:tc>
          <w:tcPr/>
          <w:p>
            <w:pPr>
              <w:pStyle w:val="Compact"/>
              <w:jc w:val="left"/>
            </w:pPr>
            <w:r>
              <w:t xml:space="preserve">124,188</w:t>
            </w:r>
          </w:p>
        </w:tc>
        <w:tc>
          <w:tcPr/>
          <w:p>
            <w:pPr>
              <w:pStyle w:val="Compact"/>
              <w:jc w:val="left"/>
            </w:pPr>
            <w:r>
              <w:t xml:space="preserve">19,922</w:t>
            </w:r>
          </w:p>
        </w:tc>
      </w:tr>
      <w:tr>
        <w:tc>
          <w:tcPr/>
          <w:p>
            <w:pPr>
              <w:pStyle w:val="Compact"/>
              <w:jc w:val="left"/>
            </w:pPr>
            <w:r>
              <w:t xml:space="preserve">Has antidepressant index prescription</w:t>
            </w:r>
          </w:p>
        </w:tc>
        <w:tc>
          <w:tcPr/>
          <w:p>
            <w:pPr>
              <w:pStyle w:val="Compact"/>
              <w:jc w:val="left"/>
            </w:pPr>
            <w:r>
              <w:t xml:space="preserve">107,636</w:t>
            </w:r>
          </w:p>
        </w:tc>
        <w:tc>
          <w:tcPr/>
          <w:p>
            <w:pPr>
              <w:pStyle w:val="Compact"/>
              <w:jc w:val="left"/>
            </w:pPr>
            <w:r>
              <w:t xml:space="preserve">16,552</w:t>
            </w:r>
          </w:p>
        </w:tc>
      </w:tr>
      <w:tr>
        <w:tc>
          <w:tcPr/>
          <w:p>
            <w:pPr>
              <w:pStyle w:val="Compact"/>
              <w:jc w:val="left"/>
            </w:pPr>
            <w:r>
              <w:t xml:space="preserve">Has MDD before index</w:t>
            </w:r>
          </w:p>
        </w:tc>
        <w:tc>
          <w:tcPr/>
          <w:p>
            <w:pPr>
              <w:pStyle w:val="Compact"/>
              <w:jc w:val="left"/>
            </w:pPr>
            <w:r>
              <w:t xml:space="preserve">103,458</w:t>
            </w:r>
          </w:p>
        </w:tc>
        <w:tc>
          <w:tcPr/>
          <w:p>
            <w:pPr>
              <w:pStyle w:val="Compact"/>
              <w:jc w:val="left"/>
            </w:pPr>
            <w:r>
              <w:t xml:space="preserve">4,178</w:t>
            </w:r>
          </w:p>
        </w:tc>
      </w:tr>
      <w:tr>
        <w:tc>
          <w:tcPr/>
          <w:p>
            <w:pPr>
              <w:pStyle w:val="Compact"/>
              <w:jc w:val="left"/>
            </w:pPr>
            <w:r>
              <w:t xml:space="preserve">≥2 years pre-index history</w:t>
            </w:r>
          </w:p>
        </w:tc>
        <w:tc>
          <w:tcPr/>
          <w:p>
            <w:pPr>
              <w:pStyle w:val="Compact"/>
              <w:jc w:val="left"/>
            </w:pPr>
            <w:r>
              <w:t xml:space="preserve">54,215</w:t>
            </w:r>
          </w:p>
        </w:tc>
        <w:tc>
          <w:tcPr/>
          <w:p>
            <w:pPr>
              <w:pStyle w:val="Compact"/>
              <w:jc w:val="left"/>
            </w:pPr>
            <w:r>
              <w:t xml:space="preserve">49,243</w:t>
            </w:r>
          </w:p>
        </w:tc>
      </w:tr>
      <w:tr>
        <w:tc>
          <w:tcPr/>
          <w:p>
            <w:pPr>
              <w:pStyle w:val="Compact"/>
              <w:jc w:val="left"/>
            </w:pPr>
            <w:r>
              <w:t xml:space="preserve">≥1 year post-index follow-up (final cohort)</w:t>
            </w:r>
          </w:p>
        </w:tc>
        <w:tc>
          <w:tcPr/>
          <w:p>
            <w:pPr>
              <w:pStyle w:val="Compact"/>
              <w:jc w:val="left"/>
            </w:pPr>
            <w:r>
              <w:t xml:space="preserve">42,579</w:t>
            </w:r>
          </w:p>
        </w:tc>
        <w:tc>
          <w:tcPr/>
          <w:p>
            <w:pPr>
              <w:pStyle w:val="Compact"/>
              <w:jc w:val="left"/>
            </w:pPr>
            <w:r>
              <w:t xml:space="preserve">11,636</w:t>
            </w:r>
          </w:p>
        </w:tc>
      </w:tr>
    </w:tbl>
    <w:p>
      <w:pPr>
        <w:pStyle w:val="FirstParagraph"/>
      </w:pPr>
      <w:r>
        <w:t xml:space="preserve">Upstream data preparation assembled, for each patient, all antidepressant medication orders beginning on or after the date of the first documented depression diagnosis. The earliest start date in that set defined the index date, one per patient. In 25,645 of the 42,579 cohort patients (60.2%, 95% CI 59.8–60.7), the index prescription was written on the same day as the first recorded depression diagnosis.</w:t>
      </w:r>
    </w:p>
    <w:p>
      <w:pPr>
        <w:pStyle w:val="BodyText"/>
      </w:pPr>
      <w:r>
        <w:t xml:space="preserve">The index was chosen without looking at anything after it, such as later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(95% CI 23.6–24.4) had some recorded pre-index exposure and 14.7% (95% CI 14.4–15.1) had a course meeting the 42-day duration threshold. The index was the first recorded prescription on or after a documented depression diagnosis, not necessarily the first lifetime exposure or first adequate trial.</w:t>
      </w:r>
    </w:p>
    <w:bookmarkEnd w:id="11"/>
    <w:bookmarkStart w:id="12" w:name="_63bc0803ebe962ba9f374966d573a6a80945fa8"/>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12"/>
    <w:bookmarkStart w:id="13" w:name="_5981043068b64e5c28c31cee653409619b5d781"/>
    <w:p>
      <w:pPr>
        <w:pStyle w:val="Heading1"/>
      </w:pPr>
      <w:r>
        <w:t xml:space="preserve">M4 Predictors and Structured Representation</w:t>
      </w:r>
    </w:p>
    <w:p>
      <w:pPr>
        <w:pStyle w:val="FirstParagraph"/>
      </w:pPr>
      <w:r>
        <w:t xml:space="preserve">Predictor domains were selected clinically and from prior literature before model fitting or inspection of outcome associations [5]. No univariate screening or automated selection determined the source-field inventory; subsequent model regularization operated on the encoded predictors.</w:t>
      </w:r>
    </w:p>
    <w:p>
      <w:pPr>
        <w:pStyle w:val="BodyText"/>
      </w:pPr>
      <w:r>
        <w:t xml:space="preserve">Domains included depression severity and recurrence, psychiatric and substance-use comorbidity, medical comorbidity, prior treatment, medication burden, utilization, and sociodemographic characteristics [5-8]. Severity was represented by diagnosis codes because standardized symptom scales were not available.</w:t>
      </w:r>
    </w:p>
    <w:p>
      <w:pPr>
        <w:pStyle w:val="BodyText"/>
      </w:pPr>
      <w:r>
        <w:t xml:space="preserve">Prescribing-constraint flags described potential limits on treatment options. Sociodemographic and social-determinant fields were retained to evaluate their direct contribution by permutation. Body mass index and blood pressure were subsequently removed from FEATURE because of missingness (section M6).</w:t>
      </w:r>
    </w:p>
    <w:p>
      <w:pPr>
        <w:pStyle w:val="BodyText"/>
      </w:pPr>
      <w:r>
        <w:t xml:space="preserve">FEATURE assigns explicit types to counts and durations, binary indicators, and nominal categories. Prior antidepressant trial counts required at least 42 continuous days of exposure; adequate dose was not established by this rule. Tables M2–M4 provide the 59 retained source fields and their expansion to 92 model columns.</w:t>
      </w:r>
    </w:p>
    <w:p>
      <w:pPr>
        <w:pStyle w:val="BodyText"/>
      </w:pPr>
      <w:r>
        <w:t xml:space="preserve">After removal of 3 vital-sign fields, the inventory comprised 15 quantitative, 36 binary, and 8 categorical source fields. Categorical expansion produced 41 columns, for a total of 92. Display labels are those used in the original analyses.</w:t>
      </w:r>
    </w:p>
    <w:p>
      <w:pPr>
        <w:pStyle w:val="BodyText"/>
      </w:pPr>
      <w:r>
        <w:t xml:space="preserve">Table M2. Quantitative predictors.</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Predictor</w:t>
            </w:r>
          </w:p>
        </w:tc>
      </w:tr>
      <w:tr>
        <w:tc>
          <w:tcPr/>
          <w:p>
            <w:pPr>
              <w:pStyle w:val="Compact"/>
              <w:jc w:val="left"/>
            </w:pPr>
            <w:r>
              <w:t xml:space="preserve">MDD history before index (days)</w:t>
            </w:r>
          </w:p>
        </w:tc>
      </w:tr>
      <w:tr>
        <w:tc>
          <w:tcPr/>
          <w:p>
            <w:pPr>
              <w:pStyle w:val="Compact"/>
              <w:jc w:val="left"/>
            </w:pPr>
            <w:r>
              <w:t xml:space="preserve">History length (days)</w:t>
            </w:r>
          </w:p>
        </w:tc>
      </w:tr>
      <w:tr>
        <w:tc>
          <w:tcPr/>
          <w:p>
            <w:pPr>
              <w:pStyle w:val="Compact"/>
              <w:jc w:val="left"/>
            </w:pPr>
            <w:r>
              <w:t xml:space="preserve">Encounter count</w:t>
            </w:r>
          </w:p>
        </w:tc>
      </w:tr>
      <w:tr>
        <w:tc>
          <w:tcPr/>
          <w:p>
            <w:pPr>
              <w:pStyle w:val="Compact"/>
              <w:jc w:val="left"/>
            </w:pPr>
            <w:r>
              <w:t xml:space="preserve">ED visits (count)</w:t>
            </w:r>
          </w:p>
        </w:tc>
      </w:tr>
      <w:tr>
        <w:tc>
          <w:tcPr/>
          <w:p>
            <w:pPr>
              <w:pStyle w:val="Compact"/>
              <w:jc w:val="left"/>
            </w:pPr>
            <w:r>
              <w:t xml:space="preserve">Inpatient days before index</w:t>
            </w:r>
          </w:p>
        </w:tc>
      </w:tr>
      <w:tr>
        <w:tc>
          <w:tcPr/>
          <w:p>
            <w:pPr>
              <w:pStyle w:val="Compact"/>
              <w:jc w:val="left"/>
            </w:pPr>
            <w:r>
              <w:t xml:space="preserve">Age (years)</w:t>
            </w:r>
          </w:p>
        </w:tc>
      </w:tr>
      <w:tr>
        <w:tc>
          <w:tcPr/>
          <w:p>
            <w:pPr>
              <w:pStyle w:val="Compact"/>
              <w:jc w:val="left"/>
            </w:pPr>
            <w:r>
              <w:t xml:space="preserve">Medications active at index</w:t>
            </w:r>
          </w:p>
        </w:tc>
      </w:tr>
      <w:tr>
        <w:tc>
          <w:tcPr/>
          <w:p>
            <w:pPr>
              <w:pStyle w:val="Compact"/>
              <w:jc w:val="left"/>
            </w:pPr>
            <w:r>
              <w:t xml:space="preserve">Anti-inflammatories active at index</w:t>
            </w:r>
          </w:p>
        </w:tc>
      </w:tr>
      <w:tr>
        <w:tc>
          <w:tcPr/>
          <w:p>
            <w:pPr>
              <w:pStyle w:val="Compact"/>
              <w:jc w:val="left"/>
            </w:pPr>
            <w:r>
              <w:t xml:space="preserve">Sleep meds active at index</w:t>
            </w:r>
          </w:p>
        </w:tc>
      </w:tr>
      <w:tr>
        <w:tc>
          <w:tcPr/>
          <w:p>
            <w:pPr>
              <w:pStyle w:val="Compact"/>
              <w:jc w:val="left"/>
            </w:pPr>
            <w:r>
              <w:t xml:space="preserve">Anxiolytic days before index</w:t>
            </w:r>
          </w:p>
        </w:tc>
      </w:tr>
      <w:tr>
        <w:tc>
          <w:tcPr/>
          <w:p>
            <w:pPr>
              <w:pStyle w:val="Compact"/>
              <w:jc w:val="left"/>
            </w:pPr>
            <w:r>
              <w:t xml:space="preserve">Bupropion trials (6+ wk)</w:t>
            </w:r>
          </w:p>
        </w:tc>
      </w:tr>
      <w:tr>
        <w:tc>
          <w:tcPr/>
          <w:p>
            <w:pPr>
              <w:pStyle w:val="Compact"/>
              <w:jc w:val="left"/>
            </w:pPr>
            <w:r>
              <w:t xml:space="preserve">Mirtazapine trials (6+ wk)</w:t>
            </w:r>
          </w:p>
        </w:tc>
      </w:tr>
      <w:tr>
        <w:tc>
          <w:tcPr/>
          <w:p>
            <w:pPr>
              <w:pStyle w:val="Compact"/>
              <w:jc w:val="left"/>
            </w:pPr>
            <w:r>
              <w:t xml:space="preserve">SNRI trials (6+ wk)</w:t>
            </w:r>
          </w:p>
        </w:tc>
      </w:tr>
      <w:tr>
        <w:tc>
          <w:tcPr/>
          <w:p>
            <w:pPr>
              <w:pStyle w:val="Compact"/>
              <w:jc w:val="left"/>
            </w:pPr>
            <w:r>
              <w:t xml:space="preserve">SSRI trials (6+ wk)</w:t>
            </w:r>
          </w:p>
        </w:tc>
      </w:tr>
      <w:tr>
        <w:tc>
          <w:tcPr/>
          <w:p>
            <w:pPr>
              <w:pStyle w:val="Compact"/>
              <w:jc w:val="left"/>
            </w:pPr>
            <w:r>
              <w:t xml:space="preserve">Vortioxetine trials (6+ wk)</w:t>
            </w:r>
          </w:p>
        </w:tc>
      </w:tr>
    </w:tbl>
    <w:p>
      <w:pPr>
        <w:pStyle w:val="FirstParagraph"/>
      </w:pPr>
      <w:r>
        <w:t xml:space="preserve">Table M3. Binary predictors by domain.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Block</w:t>
            </w:r>
          </w:p>
        </w:tc>
        <w:tc>
          <w:tcPr/>
          <w:p>
            <w:pPr>
              <w:pStyle w:val="Compact"/>
              <w:jc w:val="left"/>
            </w:pPr>
            <w:r>
              <w:rPr>
                <w:b/>
                <w:bCs/>
              </w:rPr>
              <w:t xml:space="preserve">Predictors</w:t>
            </w:r>
          </w:p>
        </w:tc>
      </w:tr>
      <w:tr>
        <w:tc>
          <w:tcPr/>
          <w:p>
            <w:pPr>
              <w:pStyle w:val="Compact"/>
              <w:jc w:val="left"/>
            </w:pPr>
            <w:r>
              <w:t xml:space="preserve">Clinical flags (3)</w:t>
            </w:r>
          </w:p>
        </w:tc>
        <w:tc>
          <w:tcPr/>
          <w:p>
            <w:pPr>
              <w:pStyle w:val="Compact"/>
              <w:jc w:val="left"/>
            </w:pPr>
            <w:r>
              <w:t xml:space="preserve">MDD in history; Suicidality; Augmentation therapy</w:t>
            </w:r>
          </w:p>
        </w:tc>
      </w:tr>
      <w:tr>
        <w:tc>
          <w:tcPr/>
          <w:p>
            <w:pPr>
              <w:pStyle w:val="Compact"/>
              <w:jc w:val="left"/>
            </w:pPr>
            <w:r>
              <w:t xml:space="preserve">Psychiatric comorbidities (8)</w:t>
            </w:r>
          </w:p>
        </w:tc>
        <w:tc>
          <w:tcPr/>
          <w:p>
            <w:pPr>
              <w:pStyle w:val="Compact"/>
              <w:jc w:val="left"/>
            </w:pPr>
            <w:r>
              <w:t xml:space="preserve">Adjustment disorder; Anxiety disorder; Dysthymia (chronic depression); Insomnia; OCD; PTSD; Social anxiety disorder; Substance use disorder (any)</w:t>
            </w:r>
          </w:p>
        </w:tc>
      </w:tr>
      <w:tr>
        <w:tc>
          <w:tcPr/>
          <w:p>
            <w:pPr>
              <w:pStyle w:val="Compact"/>
              <w:jc w:val="left"/>
            </w:pPr>
            <w:r>
              <w:t xml:space="preserve">Medical comorbidities (4)</w:t>
            </w:r>
          </w:p>
        </w:tc>
        <w:tc>
          <w:tcPr/>
          <w:p>
            <w:pPr>
              <w:pStyle w:val="Compact"/>
              <w:jc w:val="left"/>
            </w:pPr>
            <w:r>
              <w:t xml:space="preserve">Chronic pain; Diabetes; High cholesterol; Thyroid disorder</w:t>
            </w:r>
          </w:p>
        </w:tc>
      </w:tr>
      <w:tr>
        <w:tc>
          <w:tcPr/>
          <w:p>
            <w:pPr>
              <w:pStyle w:val="Compact"/>
              <w:jc w:val="left"/>
            </w:pPr>
            <w:r>
              <w:t xml:space="preserve">Prescribing-constraint / safety (2)</w:t>
            </w:r>
          </w:p>
        </w:tc>
        <w:tc>
          <w:tcPr/>
          <w:p>
            <w:pPr>
              <w:pStyle w:val="Compact"/>
              <w:jc w:val="left"/>
            </w:pPr>
            <w:r>
              <w:t xml:space="preserve">Seizure disorder; Uncontrolled hypertension</w:t>
            </w:r>
          </w:p>
        </w:tc>
      </w:tr>
      <w:tr>
        <w:tc>
          <w:tcPr/>
          <w:p>
            <w:pPr>
              <w:pStyle w:val="Compact"/>
              <w:jc w:val="left"/>
            </w:pPr>
            <w:r>
              <w:t xml:space="preserve">Substance use disorders (10)</w:t>
            </w:r>
          </w:p>
        </w:tc>
        <w:tc>
          <w:tcPr/>
          <w:p>
            <w:pPr>
              <w:pStyle w:val="Compact"/>
              <w:jc w:val="left"/>
            </w:pPr>
            <w:r>
              <w:t xml:space="preserve">Alcohol; Cannabis; Cocaine; Hallucinogen; Inhalant; Nicotine; Opioid; Other stimulant; Other substance; Sedative/hypnotic</w:t>
            </w:r>
          </w:p>
        </w:tc>
      </w:tr>
      <w:tr>
        <w:tc>
          <w:tcPr/>
          <w:p>
            <w:pPr>
              <w:pStyle w:val="Compact"/>
              <w:jc w:val="left"/>
            </w:pPr>
            <w:r>
              <w:t xml:space="preserve">Social determinants of health (9)</w:t>
            </w:r>
          </w:p>
        </w:tc>
        <w:tc>
          <w:tcPr/>
          <w:p>
            <w:pPr>
              <w:pStyle w:val="Compact"/>
              <w:jc w:val="left"/>
            </w:pPr>
            <w:r>
              <w:t xml:space="preserve">Education or literacy issue; Employment issue; Housing or financial issue; Legal or criminal issue; Occupational hazard exposure; Family/support group issue; Psychosocial circumstances; Social environment issue; Upbringing issue</w:t>
            </w:r>
          </w:p>
        </w:tc>
      </w:tr>
    </w:tbl>
    <w:p>
      <w:pPr>
        <w:pStyle w:val="FirstParagraph"/>
      </w:pPr>
      <w:r>
        <w:t xml:space="preserve">Table M4. Categorical fields and encoded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Field</w:t>
            </w:r>
          </w:p>
        </w:tc>
        <w:tc>
          <w:tcPr/>
          <w:p>
            <w:pPr>
              <w:pStyle w:val="Compact"/>
              <w:jc w:val="left"/>
            </w:pPr>
            <w:r>
              <w:rPr>
                <w:b/>
                <w:bCs/>
              </w:rPr>
              <w:t xml:space="preserve">One-hot columns</w:t>
            </w:r>
          </w:p>
        </w:tc>
        <w:tc>
          <w:tcPr/>
          <w:p>
            <w:pPr>
              <w:pStyle w:val="Compact"/>
              <w:jc w:val="left"/>
            </w:pPr>
            <w:r>
              <w:rPr>
                <w:b/>
                <w:bCs/>
              </w:rPr>
              <w:t xml:space="preserve">Levels</w:t>
            </w:r>
          </w:p>
        </w:tc>
      </w:tr>
      <w:tr>
        <w:tc>
          <w:tcPr/>
          <w:p>
            <w:pPr>
              <w:pStyle w:val="Compact"/>
              <w:jc w:val="left"/>
            </w:pPr>
            <w:r>
              <w:t xml:space="preserve">Sex</w:t>
            </w:r>
          </w:p>
        </w:tc>
        <w:tc>
          <w:tcPr/>
          <w:p>
            <w:pPr>
              <w:pStyle w:val="Compact"/>
              <w:jc w:val="left"/>
            </w:pPr>
            <w:r>
              <w:t xml:space="preserve">1</w:t>
            </w:r>
          </w:p>
        </w:tc>
        <w:tc>
          <w:tcPr/>
          <w:p>
            <w:pPr>
              <w:pStyle w:val="Compact"/>
              <w:jc w:val="left"/>
            </w:pPr>
            <w:r>
              <w:t xml:space="preserve">Male (Female = reference, dropped)</w:t>
            </w:r>
          </w:p>
        </w:tc>
      </w:tr>
      <w:tr>
        <w:tc>
          <w:tcPr/>
          <w:p>
            <w:pPr>
              <w:pStyle w:val="Compact"/>
              <w:jc w:val="left"/>
            </w:pPr>
            <w:r>
              <w:t xml:space="preserve">Preferred language</w:t>
            </w:r>
          </w:p>
        </w:tc>
        <w:tc>
          <w:tcPr/>
          <w:p>
            <w:pPr>
              <w:pStyle w:val="Compact"/>
              <w:jc w:val="left"/>
            </w:pPr>
            <w:r>
              <w:t xml:space="preserve">6</w:t>
            </w:r>
          </w:p>
        </w:tc>
        <w:tc>
          <w:tcPr/>
          <w:p>
            <w:pPr>
              <w:pStyle w:val="Compact"/>
              <w:jc w:val="left"/>
            </w:pPr>
            <w:r>
              <w:t xml:space="preserve">Asian/Pacific Islander; English; Other; Other Indo-European; Spanish; Missing</w:t>
            </w:r>
          </w:p>
        </w:tc>
      </w:tr>
      <w:tr>
        <w:tc>
          <w:tcPr/>
          <w:p>
            <w:pPr>
              <w:pStyle w:val="Compact"/>
              <w:jc w:val="left"/>
            </w:pPr>
            <w:r>
              <w:t xml:space="preserve">Marital status</w:t>
            </w:r>
          </w:p>
        </w:tc>
        <w:tc>
          <w:tcPr/>
          <w:p>
            <w:pPr>
              <w:pStyle w:val="Compact"/>
              <w:jc w:val="left"/>
            </w:pPr>
            <w:r>
              <w:t xml:space="preserve">6</w:t>
            </w:r>
          </w:p>
        </w:tc>
        <w:tc>
          <w:tcPr/>
          <w:p>
            <w:pPr>
              <w:pStyle w:val="Compact"/>
              <w:jc w:val="left"/>
            </w:pPr>
            <w:r>
              <w:t xml:space="preserve">Divorced; Never married; Married; Separated; Widowed; Missing</w:t>
            </w:r>
          </w:p>
        </w:tc>
      </w:tr>
      <w:tr>
        <w:tc>
          <w:tcPr/>
          <w:p>
            <w:pPr>
              <w:pStyle w:val="Compact"/>
              <w:jc w:val="left"/>
            </w:pPr>
            <w:r>
              <w:t xml:space="preserve">Religion</w:t>
            </w:r>
          </w:p>
        </w:tc>
        <w:tc>
          <w:tcPr/>
          <w:p>
            <w:pPr>
              <w:pStyle w:val="Compact"/>
              <w:jc w:val="left"/>
            </w:pPr>
            <w:r>
              <w:t xml:space="preserve">6</w:t>
            </w:r>
          </w:p>
        </w:tc>
        <w:tc>
          <w:tcPr/>
          <w:p>
            <w:pPr>
              <w:pStyle w:val="Compact"/>
              <w:jc w:val="left"/>
            </w:pPr>
            <w:r>
              <w:t xml:space="preserve">Catholic; Non-Christian; Orthodox; Other/Unknown; Protestant; Missing</w:t>
            </w:r>
          </w:p>
        </w:tc>
      </w:tr>
      <w:tr>
        <w:tc>
          <w:tcPr/>
          <w:p>
            <w:pPr>
              <w:pStyle w:val="Compact"/>
              <w:jc w:val="left"/>
            </w:pPr>
            <w:r>
              <w:t xml:space="preserve">Smoking status</w:t>
            </w:r>
          </w:p>
        </w:tc>
        <w:tc>
          <w:tcPr/>
          <w:p>
            <w:pPr>
              <w:pStyle w:val="Compact"/>
              <w:jc w:val="left"/>
            </w:pPr>
            <w:r>
              <w:t xml:space="preserve">4</w:t>
            </w:r>
          </w:p>
        </w:tc>
        <w:tc>
          <w:tcPr/>
          <w:p>
            <w:pPr>
              <w:pStyle w:val="Compact"/>
              <w:jc w:val="left"/>
            </w:pPr>
            <w:r>
              <w:t xml:space="preserve">Current; Former; Never; Missing</w:t>
            </w:r>
          </w:p>
        </w:tc>
      </w:tr>
      <w:tr>
        <w:tc>
          <w:tcPr/>
          <w:p>
            <w:pPr>
              <w:pStyle w:val="Compact"/>
              <w:jc w:val="left"/>
            </w:pPr>
            <w:r>
              <w:t xml:space="preserve">Race/ethnicity</w:t>
            </w:r>
          </w:p>
        </w:tc>
        <w:tc>
          <w:tcPr/>
          <w:p>
            <w:pPr>
              <w:pStyle w:val="Compact"/>
              <w:jc w:val="left"/>
            </w:pPr>
            <w:r>
              <w:t xml:space="preserve">8</w:t>
            </w:r>
          </w:p>
        </w:tc>
        <w:tc>
          <w:tcPr/>
          <w:p>
            <w:pPr>
              <w:pStyle w:val="Compact"/>
              <w:jc w:val="left"/>
            </w:pPr>
            <w:r>
              <w:t xml:space="preserve">American Indian/Alaska Native; Asian; Black/African American; Hispanic/Latino; Multi-race; Native Hawaiian/Pacific Islander; White/Caucasian; Missing</w:t>
            </w:r>
          </w:p>
        </w:tc>
      </w:tr>
      <w:tr>
        <w:tc>
          <w:tcPr/>
          <w:p>
            <w:pPr>
              <w:pStyle w:val="Compact"/>
              <w:jc w:val="left"/>
            </w:pPr>
            <w:r>
              <w:t xml:space="preserve">MDD recurrence</w:t>
            </w:r>
          </w:p>
        </w:tc>
        <w:tc>
          <w:tcPr/>
          <w:p>
            <w:pPr>
              <w:pStyle w:val="Compact"/>
              <w:jc w:val="left"/>
            </w:pPr>
            <w:r>
              <w:t xml:space="preserve">4</w:t>
            </w:r>
          </w:p>
        </w:tc>
        <w:tc>
          <w:tcPr/>
          <w:p>
            <w:pPr>
              <w:pStyle w:val="Compact"/>
              <w:jc w:val="left"/>
            </w:pPr>
            <w:r>
              <w:t xml:space="preserve">Unspecified; Single episode; Recurrent; Dysthymia (chronic depression)</w:t>
            </w:r>
          </w:p>
        </w:tc>
      </w:tr>
      <w:tr>
        <w:tc>
          <w:tcPr/>
          <w:p>
            <w:pPr>
              <w:pStyle w:val="Compact"/>
              <w:jc w:val="left"/>
            </w:pPr>
            <w:r>
              <w:t xml:space="preserve">MDD severity</w:t>
            </w:r>
          </w:p>
        </w:tc>
        <w:tc>
          <w:tcPr/>
          <w:p>
            <w:pPr>
              <w:pStyle w:val="Compact"/>
              <w:jc w:val="left"/>
            </w:pPr>
            <w:r>
              <w:t xml:space="preserve">6</w:t>
            </w:r>
          </w:p>
        </w:tc>
        <w:tc>
          <w:tcPr/>
          <w:p>
            <w:pPr>
              <w:pStyle w:val="Compact"/>
              <w:jc w:val="left"/>
            </w:pPr>
            <w:r>
              <w:t xml:space="preserve">Unspecified; Mild; Moderate; Severe; Psychotic; Remission</w:t>
            </w:r>
          </w:p>
        </w:tc>
      </w:tr>
    </w:tbl>
    <w:bookmarkEnd w:id="13"/>
    <w:bookmarkStart w:id="14" w:name="_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14"/>
    <w:bookmarkStart w:id="15" w:name="_6ffa280f75c7cf4892b6b73d89106920f864adb"/>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(95% CI 21.7–22.5)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“Missing,”</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15"/>
    <w:bookmarkStart w:id="16" w:name="_e512f7c9d6973567a13eda16a9dea9acb2ade7b"/>
    <w:p>
      <w:pPr>
        <w:pStyle w:val="Heading1"/>
      </w:pPr>
      <w:r>
        <w:t xml:space="preserve">M7 Sample Size and Model Dimensionality</w:t>
      </w:r>
    </w:p>
    <w:p>
      <w:pPr>
        <w:pStyle w:val="FirstParagraph"/>
      </w:pPr>
      <w:r>
        <w:t xml:space="preserve">Cohort size was determined by eligibility rather than a formal sample-size calculation. Events per variable (EPV) was calculated as 5,964 outcome-positive training patients divided by the number of encoded input columns.</w:t>
      </w:r>
    </w:p>
    <w:p>
      <w:pPr>
        <w:pStyle w:val="BodyText"/>
      </w:pPr>
      <w:r>
        <w:t xml:space="preserve">FEATURE contains 92 encoded columns, giving EPV = 5,964/92 ≈ 64.8. EMBEDDED dimensionality is encoder-specific: bge-small-en-v1.5 has 384 dimensions (EPV ≈ 15.5), Qwen3-Embedding-4B has 2,560 (EPV ≈ 2.3), and bge-en-icl and Qwen3-Embedding-8B each have 4,096 (EPV ≈ 1.5). Only the smallest encoder exceeds the conventional threshold of 10.</w:t>
      </w:r>
    </w:p>
    <w:p>
      <w:pPr>
        <w:pStyle w:val="BodyText"/>
      </w:pPr>
      <w:r>
        <w:t xml:space="preserve">EPV is a descriptive ratio, not a sufficient sample-size criterion for high-dimensional regularized models. The larger encoders nevertheless have many inputs relative to outcome events, reinforcing the need for independent validation. Sparsity in a fitted model does not establish stability of the selected dimensions.</w:t>
      </w:r>
    </w:p>
    <w:bookmarkEnd w:id="16"/>
    <w:bookmarkStart w:id="17" w:name="_4a68fb2b5b9a0d62d178a9835179129c1a57913"/>
    <w:p>
      <w:pPr>
        <w:pStyle w:val="Heading1"/>
      </w:pPr>
      <w:r>
        <w:t xml:space="preserve">M8 Training and Test Split</w:t>
      </w:r>
    </w:p>
    <w:p>
      <w:pPr>
        <w:pStyle w:val="FirstParagraph"/>
      </w:pPr>
      <w:r>
        <w:t xml:space="preserve">All models used the same stratified split: 34,063 training patients (5,964 positive) and 8,516 test patients (1,491 positive). Across 100 predictor rows, the largest absolute standardized mean difference was 0.036. The largest imbalance concerned a rare social-determinant flag present in 22 training patients and no test patient. Outcome frequencies matched by design. Selected distributions are in section S8.</w:t>
      </w:r>
    </w:p>
    <w:p>
      <w:pPr>
        <w:pStyle w:val="BodyText"/>
      </w:pPr>
      <w:r>
        <w:t xml:space="preserve">Scaling parameters and category levels were estimated within each cross-validation training fold. The selected pipeline was then refitted on all training patients and applied to the test set; exploratory analyses subsequently reused these held-out predictions.</w:t>
      </w:r>
    </w:p>
    <w:p>
      <w:pPr>
        <w:pStyle w:val="BodyText"/>
      </w:pPr>
      <w:r>
        <w:t xml:space="preserve">The retrieval index contained training patients only. Test patients served as query anchors, with no self-retrieval or test-patient labels used to predict another test patient. Internal balance does not establish transportability because both partitions share the same sampling frame.</w:t>
      </w:r>
    </w:p>
    <w:bookmarkEnd w:id="17"/>
    <w:bookmarkStart w:id="18" w:name="_f63449e908d2c9454fcf45e2035afbf0ceaf2c8"/>
    <w:p>
      <w:pPr>
        <w:pStyle w:val="Heading1"/>
      </w:pPr>
      <w:r>
        <w:t xml:space="preserve">M9 Model Development</w:t>
      </w:r>
    </w:p>
    <w:p>
      <w:pPr>
        <w:pStyle w:val="FirstParagraph"/>
      </w:pPr>
      <w:r>
        <w:t xml:space="preserve">Four classifiers were fitted to each representation: logistic regression, random forest, gradient boosting, and XGBoost. For FEATURE, the column transformer standardized the numeric block, one-hot encoded categorical variables with binary categories collapsed and unknown inference-time levels ignored, and cast boolean indicators to integer without further transformation. EMBEDDED entered through the numeric branch only.</w:t>
      </w:r>
    </w:p>
    <w:p>
      <w:pPr>
        <w:pStyle w:val="BodyText"/>
      </w:pPr>
      <w:r>
        <w:t xml:space="preserve">Each classifier and its preprocessing steps formed a single scikit-learn pipeline. Five-fold grid search optimized training-set ROC AUC, after which the selected pipeline was refitted on all training patients. Scaling and category encoding were fitted within each fold. Classifier-specific tuning grids were identical across representations.</w:t>
      </w:r>
    </w:p>
    <w:bookmarkEnd w:id="18"/>
    <w:bookmarkStart w:id="19" w:name="_698e41e0120928c434fa7fbbe21a131ece11f5c"/>
    <w:p>
      <w:pPr>
        <w:pStyle w:val="Heading1"/>
      </w:pPr>
      <w:r>
        <w:t xml:space="preserve">M10 Neighbor Prediction</w:t>
      </w:r>
    </w:p>
    <w:p>
      <w:pPr>
        <w:pStyle w:val="FirstParagraph"/>
      </w:pPr>
      <w:r>
        <w:t xml:space="preserve">For EMBEDDED only, the predicted TRD probability for query patient q was the similarity-weighted mean of binary TRD labels among its k retrieved training neighbors:</w:t>
      </w:r>
    </w:p>
    <w:p>
      <w:pPr>
        <w:pStyle w:val="BodyText"/>
      </w:pPr>
      <m:oMathPara>
        <m:oMathParaPr>
          <m:jc m:val="center"/>
        </m:oMathParaPr>
        <m:oMath>
          <m:acc>
            <m:accPr>
              <m:chr m:val="̂"/>
            </m:accPr>
            <m:e>
              <m:r>
                <m:t>P</m:t>
              </m:r>
            </m:e>
          </m:acc>
          <m:r>
            <m:rPr>
              <m:sty m:val="p"/>
            </m:rPr>
            <m:t>(</m:t>
          </m:r>
          <m:r>
            <m:t>T</m:t>
          </m:r>
          <m:r>
            <m:t>R</m:t>
          </m:r>
          <m:r>
            <m:t>D</m:t>
          </m:r>
          <m:r>
            <m:rPr>
              <m:sty m:val="p"/>
            </m:rPr>
            <m:t>∣</m:t>
          </m:r>
          <m:r>
            <m:t>q</m:t>
          </m:r>
          <m:r>
            <m:rPr>
              <m:sty m:val="p"/>
            </m:rPr>
            <m:t>)</m:t>
          </m:r>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r>
                <m:t> </m:t>
              </m:r>
              <m:sSub>
                <m:e>
                  <m:r>
                    <m:t>y</m:t>
                  </m:r>
                </m:e>
                <m:sub>
                  <m:r>
                    <m:t>i</m:t>
                  </m:r>
                </m:sub>
              </m:sSub>
            </m:num>
            <m:den>
              <m:nary>
                <m:naryPr>
                  <m:chr m:val="∑"/>
                  <m:limLoc m:val="undOvr"/>
                  <m:subHide m:val="off"/>
                  <m:supHide m:val="off"/>
                </m:naryPr>
                <m:sub>
                  <m:r>
                    <m:t>i</m:t>
                  </m:r>
                  <m:r>
                    <m:rPr>
                      <m:sty m:val="p"/>
                    </m:rPr>
                    <m:t>=</m:t>
                  </m:r>
                  <m:r>
                    <m:t>1</m:t>
                  </m:r>
                </m:sub>
                <m:sup>
                  <m:r>
                    <m:t>k</m:t>
                  </m:r>
                </m:sup>
                <m:e>
                  <m:sSub>
                    <m:e>
                      <m:r>
                        <m:t>w</m:t>
                      </m:r>
                    </m:e>
                    <m:sub>
                      <m:r>
                        <m:t>i</m:t>
                      </m:r>
                    </m:sub>
                  </m:sSub>
                </m:e>
              </m:nary>
            </m:den>
          </m:f>
          <m:r>
            <m:rPr>
              <m:sty m:val="p"/>
            </m:rPr>
            <m:t>,</m:t>
          </m:r>
          <m:r>
            <m:t>  </m:t>
          </m:r>
          <m:sSub>
            <m:e>
              <m:r>
                <m:t>w</m:t>
              </m:r>
            </m:e>
            <m:sub>
              <m:r>
                <m:t>i</m:t>
              </m:r>
            </m:sub>
          </m:sSub>
          <m:r>
            <m:rPr>
              <m:sty m:val="p"/>
            </m:rPr>
            <m:t>=</m:t>
          </m:r>
          <m:r>
            <m:rPr>
              <m:sty m:val="p"/>
            </m:rPr>
            <m:t>max</m:t>
          </m:r>
          <m:r>
            <m:rPr>
              <m:sty m:val="p"/>
            </m:rPr>
            <m:t>{</m:t>
          </m:r>
          <m:sSub>
            <m:e>
              <m:r>
                <m:t>s</m:t>
              </m:r>
            </m:e>
            <m:sub>
              <m:r>
                <m:t>i</m:t>
              </m:r>
            </m:sub>
          </m:sSub>
          <m:r>
            <m:rPr>
              <m:sty m:val="p"/>
            </m:rPr>
            <m:t>,</m:t>
          </m:r>
          <m:r>
            <m:t>0</m:t>
          </m:r>
          <m:sSup>
            <m:e>
              <m:r>
                <m:rPr>
                  <m:sty m:val="p"/>
                </m:rPr>
                <m:t>}</m:t>
              </m:r>
            </m:e>
            <m:sup>
              <m:r>
                <m:t>α</m:t>
              </m:r>
            </m:sup>
          </m:sSup>
          <m:r>
            <m:rPr>
              <m:sty m:val="p"/>
            </m:rPr>
            <m:t>,</m:t>
          </m:r>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is neighbor</w:t>
      </w:r>
      <w:r>
        <w:t xml:space="preserve"> </w:t>
      </w:r>
      <m:oMath>
        <m:r>
          <m:t>i</m:t>
        </m:r>
      </m:oMath>
      <w:r>
        <w:t xml:space="preserve">’s TRD label,</w:t>
      </w:r>
      <w:r>
        <w:t xml:space="preserve"> </w:t>
      </w:r>
      <m:oMath>
        <m:sSub>
          <m:e>
            <m:r>
              <m:t>s</m:t>
            </m:r>
          </m:e>
          <m:sub>
            <m:r>
              <m:t>i</m:t>
            </m:r>
          </m:sub>
        </m:sSub>
      </m:oMath>
      <w:r>
        <w:t xml:space="preserve"> </w:t>
      </w:r>
      <w:r>
        <w:t xml:space="preserve">its similarity to q, and</w:t>
      </w:r>
      <w:r>
        <w:t xml:space="preserve"> </w:t>
      </w:r>
      <m:oMath>
        <m:r>
          <m:t>α</m:t>
        </m:r>
      </m:oMath>
      <w:r>
        <w:t xml:space="preserve"> </w:t>
      </w:r>
      <w:r>
        <w:t xml:space="preserve">a sharpening exponent. Neighborhood concentration was summarized by the effective sample size,</w:t>
      </w:r>
    </w:p>
    <w:p>
      <w:pPr>
        <w:pStyle w:val="BodyText"/>
      </w:pPr>
      <m:oMathPara>
        <m:oMathParaPr>
          <m:jc m:val="center"/>
        </m:oMathParaPr>
        <m:oMath>
          <m:r>
            <m:t>E</m:t>
          </m:r>
          <m:r>
            <m:t>S</m:t>
          </m:r>
          <m:r>
            <m:t>S</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k</m:t>
                          </m:r>
                        </m:sup>
                        <m:e>
                          <m:sSub>
                            <m:e>
                              <m:r>
                                <m:t>w</m:t>
                              </m:r>
                            </m:e>
                            <m:sub>
                              <m:r>
                                <m:t>i</m:t>
                              </m:r>
                            </m:sub>
                          </m:sSub>
                        </m:e>
                      </m:nary>
                    </m:e>
                  </m:d>
                </m:e>
                <m:sup>
                  <m:r>
                    <m:t>2</m:t>
                  </m:r>
                </m:sup>
              </m:sSup>
            </m:num>
            <m:den>
              <m:nary>
                <m:naryPr>
                  <m:chr m:val="∑"/>
                  <m:limLoc m:val="undOvr"/>
                  <m:subHide m:val="off"/>
                  <m:supHide m:val="off"/>
                </m:naryPr>
                <m:sub>
                  <m:r>
                    <m:t>i</m:t>
                  </m:r>
                  <m:r>
                    <m:rPr>
                      <m:sty m:val="p"/>
                    </m:rPr>
                    <m:t>=</m:t>
                  </m:r>
                  <m:r>
                    <m:t>1</m:t>
                  </m:r>
                </m:sub>
                <m:sup>
                  <m:r>
                    <m:t>k</m:t>
                  </m:r>
                </m:sup>
                <m:e>
                  <m:sSubSup>
                    <m:e>
                      <m:r>
                        <m:t>w</m:t>
                      </m:r>
                    </m:e>
                    <m:sub>
                      <m:r>
                        <m:t>i</m:t>
                      </m:r>
                    </m:sub>
                    <m:sup>
                      <m:r>
                        <m:t>2</m:t>
                      </m:r>
                    </m:sup>
                  </m:sSubSup>
                </m:e>
              </m:nary>
            </m:den>
          </m:f>
          <m:r>
            <m:rPr>
              <m:sty m:val="p"/>
            </m:rPr>
            <m:t>,</m:t>
          </m:r>
        </m:oMath>
      </m:oMathPara>
    </w:p>
    <w:p>
      <w:pPr>
        <w:pStyle w:val="FirstParagraph"/>
      </w:pPr>
      <w:r>
        <w:t xml:space="preserve">which equals</w:t>
      </w:r>
      <w:r>
        <w:t xml:space="preserve"> </w:t>
      </w:r>
      <m:oMath>
        <m:r>
          <m:t>k</m:t>
        </m:r>
      </m:oMath>
      <w:r>
        <w:t xml:space="preserve"> </w:t>
      </w:r>
      <w:r>
        <w:t xml:space="preserve">when all weights are equal and falls as weight concentrates on fewer neighbors.</w:t>
      </w:r>
    </w:p>
    <w:p>
      <w:pPr>
        <w:pStyle w:val="BodyText"/>
      </w:pPr>
      <w:r>
        <w:t xml:space="preserve">Two similarity metrics were compared. Plain cosine similarity used the raw embeddings. Logistic-regression-weighted cosine similarity standardized each dimension with the embedded logistic regression’s own scaler,</w:t>
      </w:r>
      <w:r>
        <w:t xml:space="preserve"> </w:t>
      </w:r>
      <m:oMath>
        <m:sSub>
          <m:e>
            <m:r>
              <m:t>z</m:t>
            </m:r>
          </m:e>
          <m:sub>
            <m:r>
              <m:t>d</m:t>
            </m:r>
          </m:sub>
        </m:sSub>
        <m:r>
          <m:rPr>
            <m:sty m:val="p"/>
          </m:rPr>
          <m:t>=</m:t>
        </m:r>
        <m:r>
          <m:rPr>
            <m:sty m:val="p"/>
          </m:rPr>
          <m:t>(</m:t>
        </m:r>
        <m:sSub>
          <m:e>
            <m:r>
              <m:t>x</m:t>
            </m:r>
          </m:e>
          <m:sub>
            <m:r>
              <m:t>d</m:t>
            </m:r>
          </m:sub>
        </m:sSub>
        <m:r>
          <m:rPr>
            <m:sty m:val="p"/>
          </m:rPr>
          <m:t>−</m:t>
        </m:r>
        <m:sSub>
          <m:e>
            <m:r>
              <m:t>μ</m:t>
            </m:r>
          </m:e>
          <m:sub>
            <m:r>
              <m:t>d</m:t>
            </m:r>
          </m:sub>
        </m:sSub>
        <m:r>
          <m:rPr>
            <m:sty m:val="p"/>
          </m:rPr>
          <m:t>)</m:t>
        </m:r>
        <m:r>
          <m:rPr>
            <m:sty m:val="p"/>
          </m:rPr>
          <m:t>/</m:t>
        </m:r>
        <m:sSub>
          <m:e>
            <m:r>
              <m:t>σ</m:t>
            </m:r>
          </m:e>
          <m:sub>
            <m:r>
              <m:t>d</m:t>
            </m:r>
          </m:sub>
        </m:sSub>
      </m:oMath>
      <w:r>
        <w:t xml:space="preserve">, and weighted dimension</w:t>
      </w:r>
      <w:r>
        <w:t xml:space="preserve"> </w:t>
      </w:r>
      <m:oMath>
        <m:r>
          <m:t>d</m:t>
        </m:r>
      </m:oMath>
      <w:r>
        <w:t xml:space="preserve"> </w:t>
      </w:r>
      <w:r>
        <w:t xml:space="preserve">by its share of that model’s absolute coefficients:</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r>
            <m:rPr>
              <m:sty m:val="p"/>
            </m:rPr>
            <m:t>.</m:t>
          </m:r>
        </m:oMath>
      </m:oMathPara>
    </w:p>
    <w:p>
      <w:pPr>
        <w:pStyle w:val="FirstParagraph"/>
      </w:pPr>
      <w:r>
        <w:t xml:space="preserve">The coefficients came from the model fitted on training patients, so no test outcome entered a risk score. The metric is supervised, whereas plain cosine similarity is not. Of 4,096 dimensions, 385 had non-zero coefficients, and the top 41 (1%) carried 31% of the absolute coefficient mass. To compare encoders whose logistic regressions were fitted under different penalties, the dimensions each model used were counted as the fewest holding 90% of its absolute coefficient mass, because a non-zero count is the full width under an L2 penalty. These counts describe the fitted models and carry no sampling interval.</w:t>
      </w:r>
    </w:p>
    <w:p>
      <w:pPr>
        <w:pStyle w:val="BodyText"/>
      </w:pPr>
      <w:r>
        <w:t xml:space="preserve">Neighbors were chosen in 2 ways, nearest and random. Nearest retrieval selected the k most similar training patients. Random retrieval drew k training patients at random for each test patient and averaged their outcomes with equal weights. A sweep evaluated every k from 1 to all 34,063 training patients for both, nearest retrieval under both metrics and</w:t>
      </w:r>
      <w:r>
        <w:t xml:space="preserve"> </w:t>
      </w:r>
      <m:oMath>
        <m:r>
          <m:t>α</m:t>
        </m:r>
      </m:oMath>
      <w:r>
        <w:t xml:space="preserve"> </w:t>
      </w:r>
      <w:r>
        <w:t xml:space="preserve">= 1, 2, and 5. Random retrieval was nested so that k + 1 neighbors extend the k already drawn, and repeated in 1,000 draws seeded from the study seed; its band at each k is the 2.5th to 97.5th percentile of the AUC across draws. Each retrieval arm, the 2 nearest-neighbor metrics and random retrieval, therefore yields a curve over k, and no single k is the result. Where one value is needed, including ROC curves and confusion matrices, it is read at the arm’s best k: the k with the highest test AUC, the smallest on a tie, and for random retrieval the highest mean across draws. For the primary encoder, the best k was 295 for logistic-regression-weighted and 757 for plain cosine similarity under</w:t>
      </w:r>
      <w:r>
        <w:t xml:space="preserve"> </w:t>
      </w:r>
      <m:oMath>
        <m:r>
          <m:t>α</m:t>
        </m:r>
      </m:oMath>
      <w:r>
        <w:t xml:space="preserve"> </w:t>
      </w:r>
      <w:r>
        <w:t xml:space="preserve">= 1, and 32,720 for random retrieval. Every best k was selected on the test patients, so the values at it are optimistic. These analyses were restricted to embeddings; no mixed-data similarity metric was specified for FEATURE.</w:t>
      </w:r>
    </w:p>
    <w:bookmarkEnd w:id="19"/>
    <w:bookmarkStart w:id="20" w:name="_70107c49b67831db4bf9463fe65972f2291ed9f"/>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“None Recorded”</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20"/>
    <w:bookmarkStart w:id="21" w:name="_bf88c08aa121cce1867f81f3b551b2d5e1fb3db"/>
    <w:p>
      <w:pPr>
        <w:pStyle w:val="Heading1"/>
      </w:pPr>
      <w:r>
        <w:t xml:space="preserve">M12 Evaluation Coverage</w:t>
      </w:r>
    </w:p>
    <w:p>
      <w:pPr>
        <w:pStyle w:val="FirstParagraph"/>
      </w:pPr>
      <w:r>
        <w:t xml:space="preserve">Standard classifiers, encoder comparisons, and concept permutations used the full cohort and common test split. All 4 encoders received both similarity metrics, random retrieval, and the neighborhood-size sweep under the same rules, each weighted by its own embedded logistic regression (manuscript, Nearest-Neighbor Retrieval Across Encoders; Figures 4–6). ROC curves and confusion matrices at best k are reported for all 4 encoders (section S6). Paired contrasts, the precision–recall and calibration panels at best k (sections S2–S3), and the subgroup analyses describe the primary encoder only.</w:t>
      </w:r>
    </w:p>
    <w:bookmarkEnd w:id="21"/>
    <w:bookmarkStart w:id="22" w:name="_a63be560897cb0514a797ab2be8f16f1487b632"/>
    <w:p>
      <w:pPr>
        <w:pStyle w:val="Heading1"/>
      </w:pPr>
      <w:r>
        <w:t xml:space="preserve">M13 Performance Metrics and Uncertainty</w:t>
      </w:r>
    </w:p>
    <w:p>
      <w:pPr>
        <w:pStyle w:val="FirstParagraph"/>
      </w:pPr>
      <w:r>
        <w:t xml:space="preserve">Discrimination was summarized by ROC AUC and AUPRC. The overall calibration summaries fit a line to binned observed and predicted probabilities. These binned slopes and intercepts are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and likelihood ratios were calculated at the test-set threshold maximizing Youden J.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22"/>
    <w:bookmarkStart w:id="44" w:name="_79427edb8601e263098e72c67087e7ef386f251"/>
    <w:p>
      <w:pPr>
        <w:pStyle w:val="Heading1"/>
      </w:pPr>
      <w:r>
        <w:t xml:space="preserve">S1 Embedding Dimensionality</w:t>
      </w:r>
    </w:p>
    <w:p>
      <w:pPr>
        <w:pStyle w:val="FirstParagraph"/>
      </w:pPr>
      <w:r>
        <w:t xml:space="preserve">Latent embedding coordinates do not have individual clinical interpretations. We therefore examined fitted sparsity, cumulative correlations, and performance after principal component reduction for Qwen3-Embedding-8B. These exploratory analyses describe the fitted representation rather than identify distinct clinical mechanisms.</w:t>
      </w:r>
    </w:p>
    <w:bookmarkStart w:id="26" w:name="_1060d720c115f1ad4f94af0846463e30bf583bd"/>
    <w:p>
      <w:pPr>
        <w:pStyle w:val="Heading2"/>
      </w:pPr>
      <w:r>
        <w:t xml:space="preserve">S1.1 Sparsity and cumulative built-in importance</w:t>
      </w:r>
    </w:p>
    <w:p>
      <w:pPr>
        <w:pStyle w:val="FirstParagraph"/>
      </w:pPr>
      <w:r>
        <w:t xml:space="preserve">The selected logistic regression used elastic-net regularization (l1_ratio=0.25; C=0.01). It assigned nonzero coefficients to 385 of 4,096 dimensions; approximately 80% of total absolute coefficient magnitude fell in 179 dimensions and 90% in 236 (Figure S1). These are model-specific measures of coefficient concentration, not estimates of intrinsic dimensionality or independent predictive information.</w:t>
      </w:r>
    </w:p>
    <w:p>
      <w:pPr>
        <w:pStyle w:val="BodyText"/>
      </w:pPr>
      <w:r>
        <w:drawing>
          <wp:inline>
            <wp:extent cx="5303520" cy="3182111"/>
            <wp:effectExtent b="0" l="0" r="0" t="0"/>
            <wp:docPr descr="" title="" id="24" name="Picture"/>
            <a:graphic>
              <a:graphicData uri="http://schemas.openxmlformats.org/drawingml/2006/picture">
                <pic:pic>
                  <pic:nvPicPr>
                    <pic:cNvPr descr="../exports/results/Qwen-Qwen3-Embedding-8B/google_medgemma-27b-text-it/feature_importance/feature_importance_cumulative_EMBEDDED.png" id="25" name="Picture"/>
                    <pic:cNvPicPr>
                      <a:picLocks noChangeArrowheads="1" noChangeAspect="1"/>
                    </pic:cNvPicPr>
                  </pic:nvPicPr>
                  <pic:blipFill>
                    <a:blip r:embed="rId23"/>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S1. Cumulative built-in importance across embedding dimensions, ranked within each classifier. For logistic regression, importance is absolute coefficient magnitude; tree models use native feature importance. K80 and K90 identify the numbers of coordinates accounting for 80% and 90% of that model-specific total.</w:t>
      </w:r>
    </w:p>
    <w:bookmarkEnd w:id="26"/>
    <w:bookmarkStart w:id="30" w:name="_bb95a0e07a4dea7bf25dbfb2045c3f351758df0"/>
    <w:p>
      <w:pPr>
        <w:pStyle w:val="Heading2"/>
      </w:pPr>
      <w:r>
        <w:t xml:space="preserve">S1.2 Cumulative univariate correlation</w:t>
      </w:r>
    </w:p>
    <w:p>
      <w:pPr>
        <w:pStyle w:val="FirstParagraph"/>
      </w:pPr>
      <w:r>
        <w:t xml:space="preserve">We ranked coordinates by absolute Spearman correlation with the outcome and, separately, with each classifier’s predicted risk (Figure S2). The cumulative curves were broadly distributed. A sparse coefficient vector and diffuse marginal correlations can coexist because embedding coordinates are correlated; neither identifies unique clinical factors.</w:t>
      </w:r>
    </w:p>
    <w:p>
      <w:pPr>
        <w:pStyle w:val="BodyText"/>
      </w:pPr>
      <w:r>
        <w:drawing>
          <wp:inline>
            <wp:extent cx="5303520" cy="3182111"/>
            <wp:effectExtent b="0" l="0" r="0" t="0"/>
            <wp:docPr descr="" title="" id="28" name="Picture"/>
            <a:graphic>
              <a:graphicData uri="http://schemas.openxmlformats.org/drawingml/2006/picture">
                <pic:pic>
                  <pic:nvPicPr>
                    <pic:cNvPr descr="../exports/results/Qwen-Qwen3-Embedding-8B/google_medgemma-27b-text-it/feature_importance/feature_correlation_cumulative_EMBEDDED.png" id="29" name="Picture"/>
                    <pic:cNvPicPr>
                      <a:picLocks noChangeArrowheads="1" noChangeAspect="1"/>
                    </pic:cNvPicPr>
                  </pic:nvPicPr>
                  <pic:blipFill>
                    <a:blip r:embed="rId27"/>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S2. Cumulative absolute univariate (Spearman) correlation. One model-agnostic baseline curve ranks dimensions by |ρ(dim, outcome)|; the four per-classifier curves rank by |ρ(dim, predicted risk)|. Cumulative fraction of total |ρ| mass versus rank, with K₈₀ / K₉₀ knees in the legend.</w:t>
      </w:r>
    </w:p>
    <w:bookmarkEnd w:id="30"/>
    <w:bookmarkStart w:id="43" w:name="_132bc64ce34c967e63c98296f18c4409603e286"/>
    <w:p>
      <w:pPr>
        <w:pStyle w:val="Heading2"/>
      </w:pPr>
      <w:r>
        <w:t xml:space="preserve">S1.3 PCA-K discrimination sweep</w:t>
      </w:r>
    </w:p>
    <w:p>
      <w:pPr>
        <w:pStyle w:val="FirstParagraph"/>
      </w:pPr>
      <w:r>
        <w:t xml:space="preserve">Each classifier was retrained on the top K principal components, with K in {1, 2, 4, 8, 16, 32, 64, 128, 256, 512, 1024}. Held-out ROC AUC generally improved as components were added, with model-specific plateaus and some deterioration at larger K (Figure S3). These curves do not identify a unique effective dimension, and choosing K from them would require further independent evaluation.</w:t>
      </w:r>
    </w:p>
    <w:p>
      <w:pPr>
        <w:pStyle w:val="BodyText"/>
      </w:pPr>
      <w:r>
        <w:t xml:space="preserve">A Logistic regression</w:t>
      </w:r>
    </w:p>
    <w:p>
      <w:pPr>
        <w:pStyle w:val="BodyText"/>
      </w:pPr>
      <w:r>
        <w:drawing>
          <wp:inline>
            <wp:extent cx="5303520" cy="3182111"/>
            <wp:effectExtent b="0" l="0" r="0" t="0"/>
            <wp:docPr descr="" title="" id="32" name="Picture"/>
            <a:graphic>
              <a:graphicData uri="http://schemas.openxmlformats.org/drawingml/2006/picture">
                <pic:pic>
                  <pic:nvPicPr>
                    <pic:cNvPr descr="../exports/results/Qwen-Qwen3-Embedding-8B/google_medgemma-27b-text-it/feature_importance/feature_importance_pca_sweep_logistic_regression_EMBEDDED.png" id="33" name="Picture"/>
                    <pic:cNvPicPr>
                      <a:picLocks noChangeArrowheads="1" noChangeAspect="1"/>
                    </pic:cNvPicPr>
                  </pic:nvPicPr>
                  <pic:blipFill>
                    <a:blip r:embed="rId3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303520" cy="3182111"/>
            <wp:effectExtent b="0" l="0" r="0" t="0"/>
            <wp:docPr descr="" title="" id="35" name="Picture"/>
            <a:graphic>
              <a:graphicData uri="http://schemas.openxmlformats.org/drawingml/2006/picture">
                <pic:pic>
                  <pic:nvPicPr>
                    <pic:cNvPr descr="../exports/results/Qwen-Qwen3-Embedding-8B/google_medgemma-27b-text-it/feature_importance/feature_importance_pca_sweep_random_forest_EMBEDDED.png" id="36" name="Picture"/>
                    <pic:cNvPicPr>
                      <a:picLocks noChangeArrowheads="1" noChangeAspect="1"/>
                    </pic:cNvPicPr>
                  </pic:nvPicPr>
                  <pic:blipFill>
                    <a:blip r:embed="rId34"/>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C Gradient boosting</w:t>
      </w:r>
    </w:p>
    <w:p>
      <w:pPr>
        <w:pStyle w:val="BodyText"/>
      </w:pPr>
      <w:r>
        <w:drawing>
          <wp:inline>
            <wp:extent cx="5303520" cy="3182111"/>
            <wp:effectExtent b="0" l="0" r="0" t="0"/>
            <wp:docPr descr="" title="" id="38" name="Picture"/>
            <a:graphic>
              <a:graphicData uri="http://schemas.openxmlformats.org/drawingml/2006/picture">
                <pic:pic>
                  <pic:nvPicPr>
                    <pic:cNvPr descr="../exports/results/Qwen-Qwen3-Embedding-8B/google_medgemma-27b-text-it/feature_importance/feature_importance_pca_sweep_gradient_boosting_EMBEDDED.png" id="39" name="Picture"/>
                    <pic:cNvPicPr>
                      <a:picLocks noChangeArrowheads="1" noChangeAspect="1"/>
                    </pic:cNvPicPr>
                  </pic:nvPicPr>
                  <pic:blipFill>
                    <a:blip r:embed="rId37"/>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303520" cy="3182111"/>
            <wp:effectExtent b="0" l="0" r="0" t="0"/>
            <wp:docPr descr="" title="" id="41" name="Picture"/>
            <a:graphic>
              <a:graphicData uri="http://schemas.openxmlformats.org/drawingml/2006/picture">
                <pic:pic>
                  <pic:nvPicPr>
                    <pic:cNvPr descr="../exports/results/Qwen-Qwen3-Embedding-8B/google_medgemma-27b-text-it/feature_importance/feature_importance_pca_sweep_xgboost_EMBEDDED.png" id="42" name="Picture"/>
                    <pic:cNvPicPr>
                      <a:picLocks noChangeArrowheads="1" noChangeAspect="1"/>
                    </pic:cNvPicPr>
                  </pic:nvPicPr>
                  <pic:blipFill>
                    <a:blip r:embed="rId40"/>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ROC AUC by retained principal components for logistic regression (A), random forest (B), gradient boosting (C), and XGBoost (D). The number of components is shown on a logarithmic scale. These are exploratory comparisons on the shared test set.</w:t>
      </w:r>
    </w:p>
    <w:bookmarkEnd w:id="43"/>
    <w:bookmarkEnd w:id="44"/>
    <w:bookmarkStart w:id="60" w:name="_37c5a7aca085f00e238895c3e50aed26129ffba"/>
    <w:p>
      <w:pPr>
        <w:pStyle w:val="Heading1"/>
      </w:pPr>
      <w:r>
        <w:t xml:space="preserve">S2 Precision Recall Performance</w:t>
      </w:r>
    </w:p>
    <w:p>
      <w:pPr>
        <w:pStyle w:val="FirstParagraph"/>
      </w:pPr>
      <w:r>
        <w:t xml:space="preserve">AUPRC complements ROC AUC by describing precision across recall levels. Its no-skill reference is the cohort’s positive fraction, 0.175. Because it depends on outcome frequency, AUPRC should not be compared across populations without accounting for prevalence.</w:t>
      </w:r>
    </w:p>
    <w:p>
      <w:pPr>
        <w:pStyle w:val="BodyText"/>
      </w:pPr>
      <w:r>
        <w:t xml:space="preserve">AUPRC remained modest across models (Tables S1–S2; Figure S4). The leading embedded and feature models achieved 0.302 (95% CI 0.281–0.325) and 0.298 (95% CI 0.276–0.322), respectively. These values are also summarized in Table 2. At each retrieval arm’s best k, AUPRC was 0.272 (95% CI 0.251–0.294) for logistic-regression-weighted, 0.264 (95% CI 0.244–0.286) for plain cosine, and 0.176 (95% CI 0.165–0.188) for random retrieval. Random retrieval therefore sat at the no-skill reference. The best k was chosen on the test patients by ROC AUC, so these values are optimistic.</w:t>
      </w:r>
    </w:p>
    <w:p>
      <w:pPr>
        <w:pStyle w:val="BodyText"/>
      </w:pPr>
      <w:r>
        <w:t xml:space="preserve">Table S1. AUPRC of the four classifiers on each representation and of the 3 retrieval arms, each arm at its own test-selected best k (held-out test set), with bootstrap 95% CIs. No-skill baseline = 0.175 (the positive rate, 95% CI 0.167–0.183).</w:t>
      </w:r>
    </w:p>
    <w:tbl>
      <w:tblPr>
        <w:tblStyle w:val="Table"/>
        <w:tblW w:type="pct" w:w="5000"/>
        <w:tblLayout w:type="fixed"/>
        <w:tblLook w:firstRow="1" w:lastRow="0" w:firstColumn="0" w:lastColumn="0" w:noHBand="0" w:noVBand="0" w:val="0020"/>
      </w:tblPr>
      <w:tblGrid>
        <w:gridCol w:w="2354"/>
        <w:gridCol w:w="3210"/>
        <w:gridCol w:w="2354"/>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AUPRC (95% CI)</w:t>
            </w:r>
          </w:p>
        </w:tc>
      </w:tr>
      <w:tr>
        <w:tc>
          <w:tcPr/>
          <w:p>
            <w:pPr>
              <w:pStyle w:val="Compact"/>
            </w:pPr>
            <w:r>
              <w:t xml:space="preserve">EMBEDDED</w:t>
            </w:r>
          </w:p>
        </w:tc>
        <w:tc>
          <w:tcPr/>
          <w:p>
            <w:pPr>
              <w:pStyle w:val="Compact"/>
            </w:pPr>
            <w:r>
              <w:t xml:space="preserve">Logistic regression</w:t>
            </w:r>
          </w:p>
        </w:tc>
        <w:tc>
          <w:tcPr/>
          <w:p>
            <w:pPr>
              <w:pStyle w:val="Compact"/>
            </w:pPr>
            <w:r>
              <w:t xml:space="preserve">0.302 (0.281–0.325)</w:t>
            </w:r>
          </w:p>
        </w:tc>
      </w:tr>
      <w:tr>
        <w:tc>
          <w:tcPr/>
          <w:p>
            <w:pPr>
              <w:pStyle w:val="Compact"/>
            </w:pPr>
            <w:r>
              <w:t xml:space="preserve">EMBEDDED</w:t>
            </w:r>
          </w:p>
        </w:tc>
        <w:tc>
          <w:tcPr/>
          <w:p>
            <w:pPr>
              <w:pStyle w:val="Compact"/>
            </w:pPr>
            <w:r>
              <w:t xml:space="preserve">Random forest</w:t>
            </w:r>
          </w:p>
        </w:tc>
        <w:tc>
          <w:tcPr/>
          <w:p>
            <w:pPr>
              <w:pStyle w:val="Compact"/>
            </w:pPr>
            <w:r>
              <w:t xml:space="preserve">0.270 (0.250–0.291)</w:t>
            </w:r>
          </w:p>
        </w:tc>
      </w:tr>
      <w:tr>
        <w:tc>
          <w:tcPr/>
          <w:p>
            <w:pPr>
              <w:pStyle w:val="Compact"/>
            </w:pPr>
            <w:r>
              <w:t xml:space="preserve">EMBEDDED</w:t>
            </w:r>
          </w:p>
        </w:tc>
        <w:tc>
          <w:tcPr/>
          <w:p>
            <w:pPr>
              <w:pStyle w:val="Compact"/>
            </w:pPr>
            <w:r>
              <w:t xml:space="preserve">Gradient boosting</w:t>
            </w:r>
          </w:p>
        </w:tc>
        <w:tc>
          <w:tcPr/>
          <w:p>
            <w:pPr>
              <w:pStyle w:val="Compact"/>
            </w:pPr>
            <w:r>
              <w:t xml:space="preserve">0.276 (0.256–0.298)</w:t>
            </w:r>
          </w:p>
        </w:tc>
      </w:tr>
      <w:tr>
        <w:tc>
          <w:tcPr/>
          <w:p>
            <w:pPr>
              <w:pStyle w:val="Compact"/>
            </w:pPr>
            <w:r>
              <w:t xml:space="preserve">EMBEDDED</w:t>
            </w:r>
          </w:p>
        </w:tc>
        <w:tc>
          <w:tcPr/>
          <w:p>
            <w:pPr>
              <w:pStyle w:val="Compact"/>
            </w:pPr>
            <w:r>
              <w:t xml:space="preserve">XGBoost</w:t>
            </w:r>
          </w:p>
        </w:tc>
        <w:tc>
          <w:tcPr/>
          <w:p>
            <w:pPr>
              <w:pStyle w:val="Compact"/>
            </w:pPr>
            <w:r>
              <w:t xml:space="preserve">0.278 (0.257–0.300)</w:t>
            </w:r>
          </w:p>
        </w:tc>
      </w:tr>
      <w:tr>
        <w:tc>
          <w:tcPr/>
          <w:p>
            <w:pPr>
              <w:pStyle w:val="Compact"/>
            </w:pPr>
            <w:r>
              <w:t xml:space="preserve">FEATURE</w:t>
            </w:r>
          </w:p>
        </w:tc>
        <w:tc>
          <w:tcPr/>
          <w:p>
            <w:pPr>
              <w:pStyle w:val="Compact"/>
            </w:pPr>
            <w:r>
              <w:t xml:space="preserve">Logistic regression</w:t>
            </w:r>
          </w:p>
        </w:tc>
        <w:tc>
          <w:tcPr/>
          <w:p>
            <w:pPr>
              <w:pStyle w:val="Compact"/>
            </w:pPr>
            <w:r>
              <w:t xml:space="preserve">0.278 (0.256–0.300)</w:t>
            </w:r>
          </w:p>
        </w:tc>
      </w:tr>
      <w:tr>
        <w:tc>
          <w:tcPr/>
          <w:p>
            <w:pPr>
              <w:pStyle w:val="Compact"/>
            </w:pPr>
            <w:r>
              <w:t xml:space="preserve">FEATURE</w:t>
            </w:r>
          </w:p>
        </w:tc>
        <w:tc>
          <w:tcPr/>
          <w:p>
            <w:pPr>
              <w:pStyle w:val="Compact"/>
            </w:pPr>
            <w:r>
              <w:t xml:space="preserve">Random forest</w:t>
            </w:r>
          </w:p>
        </w:tc>
        <w:tc>
          <w:tcPr/>
          <w:p>
            <w:pPr>
              <w:pStyle w:val="Compact"/>
            </w:pPr>
            <w:r>
              <w:t xml:space="preserve">0.293 (0.271–0.315)</w:t>
            </w:r>
          </w:p>
        </w:tc>
      </w:tr>
      <w:tr>
        <w:tc>
          <w:tcPr/>
          <w:p>
            <w:pPr>
              <w:pStyle w:val="Compact"/>
            </w:pPr>
            <w:r>
              <w:t xml:space="preserve">FEATURE</w:t>
            </w:r>
          </w:p>
        </w:tc>
        <w:tc>
          <w:tcPr/>
          <w:p>
            <w:pPr>
              <w:pStyle w:val="Compact"/>
            </w:pPr>
            <w:r>
              <w:t xml:space="preserve">Gradient boosting</w:t>
            </w:r>
          </w:p>
        </w:tc>
        <w:tc>
          <w:tcPr/>
          <w:p>
            <w:pPr>
              <w:pStyle w:val="Compact"/>
            </w:pPr>
            <w:r>
              <w:t xml:space="preserve">0.288 (0.267–0.309)</w:t>
            </w:r>
          </w:p>
        </w:tc>
      </w:tr>
      <w:tr>
        <w:tc>
          <w:tcPr/>
          <w:p>
            <w:pPr>
              <w:pStyle w:val="Compact"/>
            </w:pPr>
            <w:r>
              <w:t xml:space="preserve">FEATURE</w:t>
            </w:r>
          </w:p>
        </w:tc>
        <w:tc>
          <w:tcPr/>
          <w:p>
            <w:pPr>
              <w:pStyle w:val="Compact"/>
            </w:pPr>
            <w:r>
              <w:t xml:space="preserve">XGBoost</w:t>
            </w:r>
          </w:p>
        </w:tc>
        <w:tc>
          <w:tcPr/>
          <w:p>
            <w:pPr>
              <w:pStyle w:val="Compact"/>
            </w:pPr>
            <w:r>
              <w:t xml:space="preserve">0.298 (0.276–0.322)</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0.272 (0.251–0.294)</w:t>
            </w:r>
          </w:p>
        </w:tc>
      </w:tr>
      <w:tr>
        <w:tc>
          <w:tcPr/>
          <w:p>
            <w:pPr>
              <w:pStyle w:val="Compact"/>
            </w:pPr>
            <w:r>
              <w:t xml:space="preserve">Retrieval</w:t>
            </w:r>
          </w:p>
        </w:tc>
        <w:tc>
          <w:tcPr/>
          <w:p>
            <w:pPr>
              <w:pStyle w:val="Compact"/>
            </w:pPr>
            <w:r>
              <w:t xml:space="preserve">Plain cosine, k = 757</w:t>
            </w:r>
          </w:p>
        </w:tc>
        <w:tc>
          <w:tcPr/>
          <w:p>
            <w:pPr>
              <w:pStyle w:val="Compact"/>
            </w:pPr>
            <w:r>
              <w:t xml:space="preserve">0.264 (0.244–0.286)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0.176 (0.165–0.188)</w:t>
            </w:r>
          </w:p>
        </w:tc>
      </w:tr>
    </w:tbl>
    <w:p>
      <w:pPr>
        <w:pStyle w:val="FirstParagraph"/>
      </w:pPr>
      <w:r>
        <w:t xml:space="preserve">Table S2. Embedded logistic-regression AUPRC by encoder (held-out test set), with bootstrap 95% CIs. No-skill baseline = 0.175.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Encoder</w:t>
            </w:r>
          </w:p>
        </w:tc>
        <w:tc>
          <w:tcPr/>
          <w:p>
            <w:pPr>
              <w:pStyle w:val="Compact"/>
            </w:pPr>
            <w:r>
              <w:rPr>
                <w:b/>
                <w:bCs/>
              </w:rPr>
              <w:t xml:space="preserve">AUPRC (95% CI)</w:t>
            </w:r>
          </w:p>
        </w:tc>
      </w:tr>
      <w:tr>
        <w:tc>
          <w:tcPr/>
          <w:p>
            <w:pPr>
              <w:pStyle w:val="Compact"/>
            </w:pPr>
            <w:r>
              <w:t xml:space="preserve">bge-small-en-v1.5</w:t>
            </w:r>
          </w:p>
        </w:tc>
        <w:tc>
          <w:tcPr/>
          <w:p>
            <w:pPr>
              <w:pStyle w:val="Compact"/>
            </w:pPr>
            <w:r>
              <w:t xml:space="preserve">0.281 (0.260–0.303)</w:t>
            </w:r>
          </w:p>
        </w:tc>
      </w:tr>
      <w:tr>
        <w:tc>
          <w:tcPr/>
          <w:p>
            <w:pPr>
              <w:pStyle w:val="Compact"/>
            </w:pPr>
            <w:r>
              <w:t xml:space="preserve">bge-en-icl</w:t>
            </w:r>
          </w:p>
        </w:tc>
        <w:tc>
          <w:tcPr/>
          <w:p>
            <w:pPr>
              <w:pStyle w:val="Compact"/>
            </w:pPr>
            <w:r>
              <w:t xml:space="preserve">0.297 (0.277–0.320)</w:t>
            </w:r>
          </w:p>
        </w:tc>
      </w:tr>
      <w:tr>
        <w:tc>
          <w:tcPr/>
          <w:p>
            <w:pPr>
              <w:pStyle w:val="Compact"/>
            </w:pPr>
            <w:r>
              <w:t xml:space="preserve">Qwen3-Embedding-4B</w:t>
            </w:r>
          </w:p>
        </w:tc>
        <w:tc>
          <w:tcPr/>
          <w:p>
            <w:pPr>
              <w:pStyle w:val="Compact"/>
            </w:pPr>
            <w:r>
              <w:t xml:space="preserve">0.297 (0.274–0.319)</w:t>
            </w:r>
          </w:p>
        </w:tc>
      </w:tr>
      <w:tr>
        <w:tc>
          <w:tcPr/>
          <w:p>
            <w:pPr>
              <w:pStyle w:val="Compact"/>
            </w:pPr>
            <w:r>
              <w:t xml:space="preserve">Qwen3-Embedding-8B</w:t>
            </w:r>
          </w:p>
        </w:tc>
        <w:tc>
          <w:tcPr/>
          <w:p>
            <w:pPr>
              <w:pStyle w:val="Compact"/>
            </w:pPr>
            <w:r>
              <w:t xml:space="preserve">0.302 (0.281–0.325)</w:t>
            </w:r>
          </w:p>
        </w:tc>
      </w:tr>
    </w:tbl>
    <w:p>
      <w:pPr>
        <w:pStyle w:val="FirstParagraph"/>
      </w:pPr>
      <w:r>
        <w:t xml:space="preserve">A Embedded logistic regression</w:t>
      </w:r>
    </w:p>
    <w:p>
      <w:pPr>
        <w:pStyle w:val="BodyText"/>
      </w:pPr>
      <w:r>
        <w:drawing>
          <wp:inline>
            <wp:extent cx="5303520" cy="2863900"/>
            <wp:effectExtent b="0" l="0" r="0" t="0"/>
            <wp:docPr descr="" title="" id="46" name="Picture"/>
            <a:graphic>
              <a:graphicData uri="http://schemas.openxmlformats.org/drawingml/2006/picture">
                <pic:pic>
                  <pic:nvPicPr>
                    <pic:cNvPr descr="../exports/results/Qwen-Qwen3-Embedding-8B/google_medgemma-27b-text-it/pr_curves/pr_curve_logistic_regression_EMBEDDED.png" id="47" name="Picture"/>
                    <pic:cNvPicPr>
                      <a:picLocks noChangeArrowheads="1" noChangeAspect="1"/>
                    </pic:cNvPicPr>
                  </pic:nvPicPr>
                  <pic:blipFill>
                    <a:blip r:embed="rId4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49" name="Picture"/>
            <a:graphic>
              <a:graphicData uri="http://schemas.openxmlformats.org/drawingml/2006/picture">
                <pic:pic>
                  <pic:nvPicPr>
                    <pic:cNvPr descr="../exports/results/Qwen-Qwen3-Embedding-8B/google_medgemma-27b-text-it/pr_curves/pr_curve_xgboost_FEATURE.png" id="50" name="Picture"/>
                    <pic:cNvPicPr>
                      <a:picLocks noChangeArrowheads="1" noChangeAspect="1"/>
                    </pic:cNvPicPr>
                  </pic:nvPicPr>
                  <pic:blipFill>
                    <a:blip r:embed="rId4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52" name="Picture"/>
            <a:graphic>
              <a:graphicData uri="http://schemas.openxmlformats.org/drawingml/2006/picture">
                <pic:pic>
                  <pic:nvPicPr>
                    <pic:cNvPr descr="../exports/results/Qwen-Qwen3-Embedding-8B/google_medgemma-27b-text-it/neighbor_count_sweep/best_k_panels/pr_curve_NEAREST_IMPORTANCE_WEIGHTED_alpha1_k295.png" id="53" name="Picture"/>
                    <pic:cNvPicPr>
                      <a:picLocks noChangeArrowheads="1" noChangeAspect="1"/>
                    </pic:cNvPicPr>
                  </pic:nvPicPr>
                  <pic:blipFill>
                    <a:blip r:embed="rId5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55" name="Picture"/>
            <a:graphic>
              <a:graphicData uri="http://schemas.openxmlformats.org/drawingml/2006/picture">
                <pic:pic>
                  <pic:nvPicPr>
                    <pic:cNvPr descr="../exports/results/Qwen-Qwen3-Embedding-8B/google_medgemma-27b-text-it/neighbor_count_sweep/best_k_panels/pr_curve_NEAREST_PLAIN_COSINE_alpha1_k757.png" id="56" name="Picture"/>
                    <pic:cNvPicPr>
                      <a:picLocks noChangeArrowheads="1" noChangeAspect="1"/>
                    </pic:cNvPicPr>
                  </pic:nvPicPr>
                  <pic:blipFill>
                    <a:blip r:embed="rId5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58" name="Picture"/>
            <a:graphic>
              <a:graphicData uri="http://schemas.openxmlformats.org/drawingml/2006/picture">
                <pic:pic>
                  <pic:nvPicPr>
                    <pic:cNvPr descr="../exports/results/Qwen-Qwen3-Embedding-8B/google_medgemma-27b-text-it/neighbor_count_sweep/best_k_panels/pr_curve_RANDOM_UNIFORM_k32720.png" id="59" name="Picture"/>
                    <pic:cNvPicPr>
                      <a:picLocks noChangeArrowheads="1" noChangeAspect="1"/>
                    </pic:cNvPicPr>
                  </pic:nvPicPr>
                  <pic:blipFill>
                    <a:blip r:embed="rId5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S4. Precision–recall curves (held-out test set; primary Qwen3-Embedding-8B encoder). (A) Embedded logistic regression; (B) feature-vector XGBoost; (C–E) the 3 retrieval arms, each at its own test-selected best k. E is the draw of 1,000 whose ROC AUC at that k is closest to their mean. Every panel’s legend prints average precision. In panels C–E it differs from the table AUPRC in the third decimal, and the legend adds its bootstrap 95% CI and the no-skill reference, the positive rate, 0.175 (95% CI 0.167–0.183). The legends round the average precision, its CI and the no-skill reference to 2 decimals, so the no-skill reference reads 0.18.</w:t>
      </w:r>
    </w:p>
    <w:bookmarkEnd w:id="60"/>
    <w:bookmarkStart w:id="76" w:name="_24af855a24565bc512e345a16e8d55bb40fcc9a"/>
    <w:p>
      <w:pPr>
        <w:pStyle w:val="Heading1"/>
      </w:pPr>
      <w:r>
        <w:t xml:space="preserve">S3 Calibration</w:t>
      </w:r>
    </w:p>
    <w:p>
      <w:pPr>
        <w:pStyle w:val="FirstParagraph"/>
      </w:pPr>
      <w:r>
        <w:t xml:space="preserve">Table S3 reports Brier score and weighted calibration error (WCE), for which lower values are better. Across the 8 classifiers, Brier scores ran from 0.137 (95% CI 0.132–0.142) to 0.140 (95% CI 0.134–0.145) and WCE from 0.004 (95% CI 0.003–0.013) to 0.018 (95% CI 0.011–0.026). Table S4 reports binned calibration slopes and intercepts,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and the 3 retrieval arms, each arm at its own test-selected best k, with bootstrap 95% CIs. Both metrics describe the cohort’s observed outcome frequency.</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Brier (95% CI)</w:t>
            </w:r>
          </w:p>
        </w:tc>
        <w:tc>
          <w:tcPr/>
          <w:p>
            <w:pPr>
              <w:pStyle w:val="Compact"/>
            </w:pPr>
            <w:r>
              <w:rPr>
                <w:b/>
                <w:bCs/>
              </w:rPr>
              <w:t xml:space="preserve">WCE (95% CI)</w:t>
            </w:r>
          </w:p>
        </w:tc>
      </w:tr>
      <w:tr>
        <w:tc>
          <w:tcPr/>
          <w:p>
            <w:pPr>
              <w:pStyle w:val="Compact"/>
            </w:pPr>
            <w:r>
              <w:t xml:space="preserve">EMBEDDED</w:t>
            </w:r>
          </w:p>
        </w:tc>
        <w:tc>
          <w:tcPr/>
          <w:p>
            <w:pPr>
              <w:pStyle w:val="Compact"/>
            </w:pPr>
            <w:r>
              <w:t xml:space="preserve">Logistic regression</w:t>
            </w:r>
          </w:p>
        </w:tc>
        <w:tc>
          <w:tcPr/>
          <w:p>
            <w:pPr>
              <w:pStyle w:val="Compact"/>
            </w:pPr>
            <w:r>
              <w:t xml:space="preserve">0.137 (0.132–0.142)</w:t>
            </w:r>
          </w:p>
        </w:tc>
        <w:tc>
          <w:tcPr/>
          <w:p>
            <w:pPr>
              <w:pStyle w:val="Compact"/>
            </w:pPr>
            <w:r>
              <w:t xml:space="preserve">0.010 (0.007–0.019)</w:t>
            </w:r>
          </w:p>
        </w:tc>
      </w:tr>
      <w:tr>
        <w:tc>
          <w:tcPr/>
          <w:p>
            <w:pPr>
              <w:pStyle w:val="Compact"/>
            </w:pPr>
            <w:r>
              <w:t xml:space="preserve">EMBEDDED</w:t>
            </w:r>
          </w:p>
        </w:tc>
        <w:tc>
          <w:tcPr/>
          <w:p>
            <w:pPr>
              <w:pStyle w:val="Compact"/>
            </w:pPr>
            <w:r>
              <w:t xml:space="preserve">Random forest</w:t>
            </w:r>
          </w:p>
        </w:tc>
        <w:tc>
          <w:tcPr/>
          <w:p>
            <w:pPr>
              <w:pStyle w:val="Compact"/>
            </w:pPr>
            <w:r>
              <w:t xml:space="preserve">0.140 (0.134–0.145)</w:t>
            </w:r>
          </w:p>
        </w:tc>
        <w:tc>
          <w:tcPr/>
          <w:p>
            <w:pPr>
              <w:pStyle w:val="Compact"/>
            </w:pPr>
            <w:r>
              <w:t xml:space="preserve">0.006 (0.005–0.015)</w:t>
            </w:r>
          </w:p>
        </w:tc>
      </w:tr>
      <w:tr>
        <w:tc>
          <w:tcPr/>
          <w:p>
            <w:pPr>
              <w:pStyle w:val="Compact"/>
            </w:pPr>
            <w:r>
              <w:t xml:space="preserve">EMBEDDED</w:t>
            </w:r>
          </w:p>
        </w:tc>
        <w:tc>
          <w:tcPr/>
          <w:p>
            <w:pPr>
              <w:pStyle w:val="Compact"/>
            </w:pPr>
            <w:r>
              <w:t xml:space="preserve">Gradient boosting</w:t>
            </w:r>
          </w:p>
        </w:tc>
        <w:tc>
          <w:tcPr/>
          <w:p>
            <w:pPr>
              <w:pStyle w:val="Compact"/>
            </w:pPr>
            <w:r>
              <w:t xml:space="preserve">0.139 (0.134–0.144)</w:t>
            </w:r>
          </w:p>
        </w:tc>
        <w:tc>
          <w:tcPr/>
          <w:p>
            <w:pPr>
              <w:pStyle w:val="Compact"/>
            </w:pPr>
            <w:r>
              <w:t xml:space="preserve">0.004 (0.003–0.013)</w:t>
            </w:r>
          </w:p>
        </w:tc>
      </w:tr>
      <w:tr>
        <w:tc>
          <w:tcPr/>
          <w:p>
            <w:pPr>
              <w:pStyle w:val="Compact"/>
            </w:pPr>
            <w:r>
              <w:t xml:space="preserve">EMBEDDED</w:t>
            </w:r>
          </w:p>
        </w:tc>
        <w:tc>
          <w:tcPr/>
          <w:p>
            <w:pPr>
              <w:pStyle w:val="Compact"/>
            </w:pPr>
            <w:r>
              <w:t xml:space="preserve">XGBoost</w:t>
            </w:r>
          </w:p>
        </w:tc>
        <w:tc>
          <w:tcPr/>
          <w:p>
            <w:pPr>
              <w:pStyle w:val="Compact"/>
            </w:pPr>
            <w:r>
              <w:t xml:space="preserve">0.139 (0.134–0.144)</w:t>
            </w:r>
          </w:p>
        </w:tc>
        <w:tc>
          <w:tcPr/>
          <w:p>
            <w:pPr>
              <w:pStyle w:val="Compact"/>
            </w:pPr>
            <w:r>
              <w:t xml:space="preserve">0.013 (0.007–0.022)</w:t>
            </w:r>
          </w:p>
        </w:tc>
      </w:tr>
      <w:tr>
        <w:tc>
          <w:tcPr/>
          <w:p>
            <w:pPr>
              <w:pStyle w:val="Compact"/>
            </w:pPr>
            <w:r>
              <w:t xml:space="preserve">FEATURE</w:t>
            </w:r>
          </w:p>
        </w:tc>
        <w:tc>
          <w:tcPr/>
          <w:p>
            <w:pPr>
              <w:pStyle w:val="Compact"/>
            </w:pPr>
            <w:r>
              <w:t xml:space="preserve">Logistic regression</w:t>
            </w:r>
          </w:p>
        </w:tc>
        <w:tc>
          <w:tcPr/>
          <w:p>
            <w:pPr>
              <w:pStyle w:val="Compact"/>
            </w:pPr>
            <w:r>
              <w:t xml:space="preserve">0.139 (0.134–0.144)</w:t>
            </w:r>
          </w:p>
        </w:tc>
        <w:tc>
          <w:tcPr/>
          <w:p>
            <w:pPr>
              <w:pStyle w:val="Compact"/>
            </w:pPr>
            <w:r>
              <w:t xml:space="preserve">0.005 (0.003–0.015)</w:t>
            </w:r>
          </w:p>
        </w:tc>
      </w:tr>
      <w:tr>
        <w:tc>
          <w:tcPr/>
          <w:p>
            <w:pPr>
              <w:pStyle w:val="Compact"/>
            </w:pPr>
            <w:r>
              <w:t xml:space="preserve">FEATURE</w:t>
            </w:r>
          </w:p>
        </w:tc>
        <w:tc>
          <w:tcPr/>
          <w:p>
            <w:pPr>
              <w:pStyle w:val="Compact"/>
            </w:pPr>
            <w:r>
              <w:t xml:space="preserve">Random forest</w:t>
            </w:r>
          </w:p>
        </w:tc>
        <w:tc>
          <w:tcPr/>
          <w:p>
            <w:pPr>
              <w:pStyle w:val="Compact"/>
            </w:pPr>
            <w:r>
              <w:t xml:space="preserve">0.139 (0.134–0.144)</w:t>
            </w:r>
          </w:p>
        </w:tc>
        <w:tc>
          <w:tcPr/>
          <w:p>
            <w:pPr>
              <w:pStyle w:val="Compact"/>
            </w:pPr>
            <w:r>
              <w:t xml:space="preserve">0.018 (0.011–0.026)</w:t>
            </w:r>
          </w:p>
        </w:tc>
      </w:tr>
      <w:tr>
        <w:tc>
          <w:tcPr/>
          <w:p>
            <w:pPr>
              <w:pStyle w:val="Compact"/>
            </w:pPr>
            <w:r>
              <w:t xml:space="preserve">FEATURE</w:t>
            </w:r>
          </w:p>
        </w:tc>
        <w:tc>
          <w:tcPr/>
          <w:p>
            <w:pPr>
              <w:pStyle w:val="Compact"/>
            </w:pPr>
            <w:r>
              <w:t xml:space="preserve">Gradient boosting</w:t>
            </w:r>
          </w:p>
        </w:tc>
        <w:tc>
          <w:tcPr/>
          <w:p>
            <w:pPr>
              <w:pStyle w:val="Compact"/>
            </w:pPr>
            <w:r>
              <w:t xml:space="preserve">0.138 (0.133–0.143)</w:t>
            </w:r>
          </w:p>
        </w:tc>
        <w:tc>
          <w:tcPr/>
          <w:p>
            <w:pPr>
              <w:pStyle w:val="Compact"/>
            </w:pPr>
            <w:r>
              <w:t xml:space="preserve">0.010 (0.005–0.018)</w:t>
            </w:r>
          </w:p>
        </w:tc>
      </w:tr>
      <w:tr>
        <w:tc>
          <w:tcPr/>
          <w:p>
            <w:pPr>
              <w:pStyle w:val="Compact"/>
            </w:pPr>
            <w:r>
              <w:t xml:space="preserve">FEATURE</w:t>
            </w:r>
          </w:p>
        </w:tc>
        <w:tc>
          <w:tcPr/>
          <w:p>
            <w:pPr>
              <w:pStyle w:val="Compact"/>
            </w:pPr>
            <w:r>
              <w:t xml:space="preserve">XGBoost</w:t>
            </w:r>
          </w:p>
        </w:tc>
        <w:tc>
          <w:tcPr/>
          <w:p>
            <w:pPr>
              <w:pStyle w:val="Compact"/>
            </w:pPr>
            <w:r>
              <w:t xml:space="preserve">0.138 (0.132–0.143)</w:t>
            </w:r>
          </w:p>
        </w:tc>
        <w:tc>
          <w:tcPr/>
          <w:p>
            <w:pPr>
              <w:pStyle w:val="Compact"/>
            </w:pPr>
            <w:r>
              <w:t xml:space="preserve">0.012 (0.006–0.020)</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0.140 (0.134–0.145)</w:t>
            </w:r>
          </w:p>
        </w:tc>
        <w:tc>
          <w:tcPr/>
          <w:p>
            <w:pPr>
              <w:pStyle w:val="Compact"/>
            </w:pPr>
            <w:r>
              <w:t xml:space="preserve">0.005 (0.003–0.014)</w:t>
            </w:r>
          </w:p>
        </w:tc>
      </w:tr>
      <w:tr>
        <w:tc>
          <w:tcPr/>
          <w:p>
            <w:pPr>
              <w:pStyle w:val="Compact"/>
            </w:pPr>
            <w:r>
              <w:t xml:space="preserve">Retrieval</w:t>
            </w:r>
          </w:p>
        </w:tc>
        <w:tc>
          <w:tcPr/>
          <w:p>
            <w:pPr>
              <w:pStyle w:val="Compact"/>
            </w:pPr>
            <w:r>
              <w:t xml:space="preserve">Plain cosine, k = 757</w:t>
            </w:r>
          </w:p>
        </w:tc>
        <w:tc>
          <w:tcPr/>
          <w:p>
            <w:pPr>
              <w:pStyle w:val="Compact"/>
            </w:pPr>
            <w:r>
              <w:t xml:space="preserve">0.141 (0.135–0.146)</w:t>
            </w:r>
          </w:p>
        </w:tc>
        <w:tc>
          <w:tcPr/>
          <w:p>
            <w:pPr>
              <w:pStyle w:val="Compact"/>
            </w:pPr>
            <w:r>
              <w:t xml:space="preserve">0.009 (0.004–0.016)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0.144 (0.139–0.150)</w:t>
            </w:r>
          </w:p>
        </w:tc>
        <w:tc>
          <w:tcPr/>
          <w:p>
            <w:pPr>
              <w:pStyle w:val="Compact"/>
            </w:pPr>
            <w:r>
              <w:t xml:space="preserve">0.00001* (0.0001–0.009)</w:t>
            </w:r>
          </w:p>
        </w:tc>
      </w:tr>
    </w:tbl>
    <w:p>
      <w:pPr>
        <w:pStyle w:val="FirstParagraph"/>
      </w:pPr>
      <w:r>
        <w:t xml:space="preserve">* The random arm’s WCE lies below its own bootstrap interval. Its predicted risks all sit within 0.002 of the outcome rate, so on the full test set the binned error is almost zero. Every resample moves the observed rate away from those fixed risks, so the resampled errors are larger. The interval therefore describes resampling noise around a near-zero error, not uncertainty about a positive one.</w:t>
      </w:r>
    </w:p>
    <w:p>
      <w:pPr>
        <w:pStyle w:val="BodyText"/>
      </w:pPr>
      <w:r>
        <w:t xml:space="preserve">Table S4. Slopes and intercepts fitted to the binned calibration curves, with bootstrap 95% CIs, for the 8 classifiers and the 3 retrieval arms at their own test-selected best k. These values are descriptive and are not individual-level logistic calibration parameters. See section S9 for the latter. The classifier rows fit a line through 10 equal-width bins, several of which hold few patients, so their intervals are wide. The retrieval rows use 10 bins of equal patient count, matching Figure S5. For random retrieval every predicted risk lies between 0.173 and 0.176, so its slope and intercept are not estimable.</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Binned slope (95% CI)</w:t>
            </w:r>
          </w:p>
        </w:tc>
        <w:tc>
          <w:tcPr/>
          <w:p>
            <w:pPr>
              <w:pStyle w:val="Compact"/>
            </w:pPr>
            <w:r>
              <w:rPr>
                <w:b/>
                <w:bCs/>
              </w:rPr>
              <w:t xml:space="preserve">Binned intercept (95% CI)</w:t>
            </w:r>
          </w:p>
        </w:tc>
      </w:tr>
      <w:tr>
        <w:tc>
          <w:tcPr/>
          <w:p>
            <w:pPr>
              <w:pStyle w:val="Compact"/>
            </w:pPr>
            <w:r>
              <w:t xml:space="preserve">EMBEDDED</w:t>
            </w:r>
          </w:p>
        </w:tc>
        <w:tc>
          <w:tcPr/>
          <w:p>
            <w:pPr>
              <w:pStyle w:val="Compact"/>
            </w:pPr>
            <w:r>
              <w:t xml:space="preserve">Logistic regression</w:t>
            </w:r>
          </w:p>
        </w:tc>
        <w:tc>
          <w:tcPr/>
          <w:p>
            <w:pPr>
              <w:pStyle w:val="Compact"/>
            </w:pPr>
            <w:r>
              <w:t xml:space="preserve">1.27 (0.86–1.43)</w:t>
            </w:r>
          </w:p>
        </w:tc>
        <w:tc>
          <w:tcPr/>
          <w:p>
            <w:pPr>
              <w:pStyle w:val="Compact"/>
            </w:pPr>
            <w:r>
              <w:t xml:space="preserve">−0.07 (−0.10 to +0.03)</w:t>
            </w:r>
          </w:p>
        </w:tc>
      </w:tr>
      <w:tr>
        <w:tc>
          <w:tcPr/>
          <w:p>
            <w:pPr>
              <w:pStyle w:val="Compact"/>
            </w:pPr>
            <w:r>
              <w:t xml:space="preserve">EMBEDDED</w:t>
            </w:r>
          </w:p>
        </w:tc>
        <w:tc>
          <w:tcPr/>
          <w:p>
            <w:pPr>
              <w:pStyle w:val="Compact"/>
            </w:pPr>
            <w:r>
              <w:t xml:space="preserve">Random forest</w:t>
            </w:r>
          </w:p>
        </w:tc>
        <w:tc>
          <w:tcPr/>
          <w:p>
            <w:pPr>
              <w:pStyle w:val="Compact"/>
            </w:pPr>
            <w:r>
              <w:t xml:space="preserve">1.15 (0.34–1.98)</w:t>
            </w:r>
          </w:p>
        </w:tc>
        <w:tc>
          <w:tcPr/>
          <w:p>
            <w:pPr>
              <w:pStyle w:val="Compact"/>
            </w:pPr>
            <w:r>
              <w:t xml:space="preserve">−0.02 (−0.18 to +0.13)</w:t>
            </w:r>
          </w:p>
        </w:tc>
      </w:tr>
      <w:tr>
        <w:tc>
          <w:tcPr/>
          <w:p>
            <w:pPr>
              <w:pStyle w:val="Compact"/>
            </w:pPr>
            <w:r>
              <w:t xml:space="preserve">EMBEDDED</w:t>
            </w:r>
          </w:p>
        </w:tc>
        <w:tc>
          <w:tcPr/>
          <w:p>
            <w:pPr>
              <w:pStyle w:val="Compact"/>
            </w:pPr>
            <w:r>
              <w:t xml:space="preserve">Gradient boosting</w:t>
            </w:r>
          </w:p>
        </w:tc>
        <w:tc>
          <w:tcPr/>
          <w:p>
            <w:pPr>
              <w:pStyle w:val="Compact"/>
            </w:pPr>
            <w:r>
              <w:t xml:space="preserve">1.01 (0.42–1.59)</w:t>
            </w:r>
          </w:p>
        </w:tc>
        <w:tc>
          <w:tcPr/>
          <w:p>
            <w:pPr>
              <w:pStyle w:val="Compact"/>
            </w:pPr>
            <w:r>
              <w:t xml:space="preserve">+0.01 (−0.12 to +0.14)</w:t>
            </w:r>
          </w:p>
        </w:tc>
      </w:tr>
      <w:tr>
        <w:tc>
          <w:tcPr/>
          <w:p>
            <w:pPr>
              <w:pStyle w:val="Compact"/>
            </w:pPr>
            <w:r>
              <w:t xml:space="preserve">EMBEDDED</w:t>
            </w:r>
          </w:p>
        </w:tc>
        <w:tc>
          <w:tcPr/>
          <w:p>
            <w:pPr>
              <w:pStyle w:val="Compact"/>
            </w:pPr>
            <w:r>
              <w:t xml:space="preserve">XGBoost</w:t>
            </w:r>
          </w:p>
        </w:tc>
        <w:tc>
          <w:tcPr/>
          <w:p>
            <w:pPr>
              <w:pStyle w:val="Compact"/>
            </w:pPr>
            <w:r>
              <w:t xml:space="preserve">0.75 (0.22–1.39)</w:t>
            </w:r>
          </w:p>
        </w:tc>
        <w:tc>
          <w:tcPr/>
          <w:p>
            <w:pPr>
              <w:pStyle w:val="Compact"/>
            </w:pPr>
            <w:r>
              <w:t xml:space="preserve">+0.07 (−0.08 to +0.19)</w:t>
            </w:r>
          </w:p>
        </w:tc>
      </w:tr>
      <w:tr>
        <w:tc>
          <w:tcPr/>
          <w:p>
            <w:pPr>
              <w:pStyle w:val="Compact"/>
            </w:pPr>
            <w:r>
              <w:t xml:space="preserve">FEATURE</w:t>
            </w:r>
          </w:p>
        </w:tc>
        <w:tc>
          <w:tcPr/>
          <w:p>
            <w:pPr>
              <w:pStyle w:val="Compact"/>
            </w:pPr>
            <w:r>
              <w:t xml:space="preserve">Logistic regression</w:t>
            </w:r>
          </w:p>
        </w:tc>
        <w:tc>
          <w:tcPr/>
          <w:p>
            <w:pPr>
              <w:pStyle w:val="Compact"/>
            </w:pPr>
            <w:r>
              <w:t xml:space="preserve">0.78 (0.20–1.33)</w:t>
            </w:r>
          </w:p>
        </w:tc>
        <w:tc>
          <w:tcPr/>
          <w:p>
            <w:pPr>
              <w:pStyle w:val="Compact"/>
            </w:pPr>
            <w:r>
              <w:t xml:space="preserve">+0.06 (−0.08 to +0.20)</w:t>
            </w:r>
          </w:p>
        </w:tc>
      </w:tr>
      <w:tr>
        <w:tc>
          <w:tcPr/>
          <w:p>
            <w:pPr>
              <w:pStyle w:val="Compact"/>
            </w:pPr>
            <w:r>
              <w:t xml:space="preserve">FEATURE</w:t>
            </w:r>
          </w:p>
        </w:tc>
        <w:tc>
          <w:tcPr/>
          <w:p>
            <w:pPr>
              <w:pStyle w:val="Compact"/>
            </w:pPr>
            <w:r>
              <w:t xml:space="preserve">Random forest</w:t>
            </w:r>
          </w:p>
        </w:tc>
        <w:tc>
          <w:tcPr/>
          <w:p>
            <w:pPr>
              <w:pStyle w:val="Compact"/>
            </w:pPr>
            <w:r>
              <w:t xml:space="preserve">1.84 (1.41–2.23)</w:t>
            </w:r>
          </w:p>
        </w:tc>
        <w:tc>
          <w:tcPr/>
          <w:p>
            <w:pPr>
              <w:pStyle w:val="Compact"/>
            </w:pPr>
            <w:r>
              <w:t xml:space="preserve">−0.15 (−0.22 to −0.08)</w:t>
            </w:r>
          </w:p>
        </w:tc>
      </w:tr>
      <w:tr>
        <w:tc>
          <w:tcPr/>
          <w:p>
            <w:pPr>
              <w:pStyle w:val="Compact"/>
            </w:pPr>
            <w:r>
              <w:t xml:space="preserve">FEATURE</w:t>
            </w:r>
          </w:p>
        </w:tc>
        <w:tc>
          <w:tcPr/>
          <w:p>
            <w:pPr>
              <w:pStyle w:val="Compact"/>
            </w:pPr>
            <w:r>
              <w:t xml:space="preserve">Gradient boosting</w:t>
            </w:r>
          </w:p>
        </w:tc>
        <w:tc>
          <w:tcPr/>
          <w:p>
            <w:pPr>
              <w:pStyle w:val="Compact"/>
            </w:pPr>
            <w:r>
              <w:t xml:space="preserve">0.87 (0.28–1.48)</w:t>
            </w:r>
          </w:p>
        </w:tc>
        <w:tc>
          <w:tcPr/>
          <w:p>
            <w:pPr>
              <w:pStyle w:val="Compact"/>
            </w:pPr>
            <w:r>
              <w:t xml:space="preserve">+0.04 (−0.11 to +0.19)</w:t>
            </w:r>
          </w:p>
        </w:tc>
      </w:tr>
      <w:tr>
        <w:tc>
          <w:tcPr/>
          <w:p>
            <w:pPr>
              <w:pStyle w:val="Compact"/>
            </w:pPr>
            <w:r>
              <w:t xml:space="preserve">FEATURE</w:t>
            </w:r>
          </w:p>
        </w:tc>
        <w:tc>
          <w:tcPr/>
          <w:p>
            <w:pPr>
              <w:pStyle w:val="Compact"/>
            </w:pPr>
            <w:r>
              <w:t xml:space="preserve">XGBoost</w:t>
            </w:r>
          </w:p>
        </w:tc>
        <w:tc>
          <w:tcPr/>
          <w:p>
            <w:pPr>
              <w:pStyle w:val="Compact"/>
            </w:pPr>
            <w:r>
              <w:t xml:space="preserve">1.02 (0.53–1.52)</w:t>
            </w:r>
          </w:p>
        </w:tc>
        <w:tc>
          <w:tcPr/>
          <w:p>
            <w:pPr>
              <w:pStyle w:val="Compact"/>
            </w:pPr>
            <w:r>
              <w:t xml:space="preserve">+0.02 (−0.09 to +0.13)</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1.13 (0.98–1.28)</w:t>
            </w:r>
          </w:p>
        </w:tc>
        <w:tc>
          <w:tcPr/>
          <w:p>
            <w:pPr>
              <w:pStyle w:val="Compact"/>
            </w:pPr>
            <w:r>
              <w:t xml:space="preserve">−0.02 (−0.04 to +0.01)</w:t>
            </w:r>
          </w:p>
        </w:tc>
      </w:tr>
      <w:tr>
        <w:tc>
          <w:tcPr/>
          <w:p>
            <w:pPr>
              <w:pStyle w:val="Compact"/>
            </w:pPr>
            <w:r>
              <w:t xml:space="preserve">Retrieval</w:t>
            </w:r>
          </w:p>
        </w:tc>
        <w:tc>
          <w:tcPr/>
          <w:p>
            <w:pPr>
              <w:pStyle w:val="Compact"/>
            </w:pPr>
            <w:r>
              <w:t xml:space="preserve">Plain cosine, k = 757</w:t>
            </w:r>
          </w:p>
        </w:tc>
        <w:tc>
          <w:tcPr/>
          <w:p>
            <w:pPr>
              <w:pStyle w:val="Compact"/>
            </w:pPr>
            <w:r>
              <w:t xml:space="preserve">1.43 (1.23–1.63)</w:t>
            </w:r>
          </w:p>
        </w:tc>
        <w:tc>
          <w:tcPr/>
          <w:p>
            <w:pPr>
              <w:pStyle w:val="Compact"/>
            </w:pPr>
            <w:r>
              <w:t xml:space="preserve">−0.07 (−0.10 to −0.03)</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not estimable (predicted risk spans 0.173–0.176)</w:t>
            </w:r>
          </w:p>
        </w:tc>
        <w:tc>
          <w:tcPr/>
          <w:p>
            <w:pPr>
              <w:pStyle w:val="Compact"/>
            </w:pPr>
            <w:r>
              <w:t xml:space="preserve">not estimable</w:t>
            </w:r>
          </w:p>
        </w:tc>
      </w:tr>
    </w:tbl>
    <w:p>
      <w:pPr>
        <w:pStyle w:val="FirstParagraph"/>
      </w:pPr>
      <w:r>
        <w:t xml:space="preserve">A Embedded logistic regression</w:t>
      </w:r>
    </w:p>
    <w:p>
      <w:pPr>
        <w:pStyle w:val="BodyText"/>
      </w:pPr>
      <w:r>
        <w:drawing>
          <wp:inline>
            <wp:extent cx="5303520" cy="2863900"/>
            <wp:effectExtent b="0" l="0" r="0" t="0"/>
            <wp:docPr descr="" title="" id="62" name="Picture"/>
            <a:graphic>
              <a:graphicData uri="http://schemas.openxmlformats.org/drawingml/2006/picture">
                <pic:pic>
                  <pic:nvPicPr>
                    <pic:cNvPr descr="../exports/results/Qwen-Qwen3-Embedding-8B/google_medgemma-27b-text-it/calibration_curves/calibration_curve_logistic_regression_EMBEDDED.png" id="63" name="Picture"/>
                    <pic:cNvPicPr>
                      <a:picLocks noChangeArrowheads="1" noChangeAspect="1"/>
                    </pic:cNvPicPr>
                  </pic:nvPicPr>
                  <pic:blipFill>
                    <a:blip r:embed="rId6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65" name="Picture"/>
            <a:graphic>
              <a:graphicData uri="http://schemas.openxmlformats.org/drawingml/2006/picture">
                <pic:pic>
                  <pic:nvPicPr>
                    <pic:cNvPr descr="../exports/results/Qwen-Qwen3-Embedding-8B/google_medgemma-27b-text-it/calibration_curves/calibration_curve_xgboost_FEATURE.png" id="66" name="Picture"/>
                    <pic:cNvPicPr>
                      <a:picLocks noChangeArrowheads="1" noChangeAspect="1"/>
                    </pic:cNvPicPr>
                  </pic:nvPicPr>
                  <pic:blipFill>
                    <a:blip r:embed="rId6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68" name="Picture"/>
            <a:graphic>
              <a:graphicData uri="http://schemas.openxmlformats.org/drawingml/2006/picture">
                <pic:pic>
                  <pic:nvPicPr>
                    <pic:cNvPr descr="../exports/results/Qwen-Qwen3-Embedding-8B/google_medgemma-27b-text-it/neighbor_count_sweep/best_k_panels/calibration_curve_NEAREST_IMPORTANCE_WEIGHTED_alpha1_k295.png" id="69" name="Picture"/>
                    <pic:cNvPicPr>
                      <a:picLocks noChangeArrowheads="1" noChangeAspect="1"/>
                    </pic:cNvPicPr>
                  </pic:nvPicPr>
                  <pic:blipFill>
                    <a:blip r:embed="rId6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71" name="Picture"/>
            <a:graphic>
              <a:graphicData uri="http://schemas.openxmlformats.org/drawingml/2006/picture">
                <pic:pic>
                  <pic:nvPicPr>
                    <pic:cNvPr descr="../exports/results/Qwen-Qwen3-Embedding-8B/google_medgemma-27b-text-it/neighbor_count_sweep/best_k_panels/calibration_curve_NEAREST_PLAIN_COSINE_alpha1_k757.png" id="72" name="Picture"/>
                    <pic:cNvPicPr>
                      <a:picLocks noChangeArrowheads="1" noChangeAspect="1"/>
                    </pic:cNvPicPr>
                  </pic:nvPicPr>
                  <pic:blipFill>
                    <a:blip r:embed="rId7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74" name="Picture"/>
            <a:graphic>
              <a:graphicData uri="http://schemas.openxmlformats.org/drawingml/2006/picture">
                <pic:pic>
                  <pic:nvPicPr>
                    <pic:cNvPr descr="../exports/results/Qwen-Qwen3-Embedding-8B/google_medgemma-27b-text-it/neighbor_count_sweep/best_k_panels/calibration_curve_RANDOM_UNIFORM_k32720.png" id="75" name="Picture"/>
                    <pic:cNvPicPr>
                      <a:picLocks noChangeArrowheads="1" noChangeAspect="1"/>
                    </pic:cNvPicPr>
                  </pic:nvPicPr>
                  <pic:blipFill>
                    <a:blip r:embed="rId7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E is the same random draw as Figure S4E, the one of 1,000 whose ROC AUC at that k is closest to their mean.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76"/>
    <w:bookmarkStart w:id="95" w:name="_c7b59c4eeda87d0d0de760f4b360b7eb391d6aa"/>
    <w:p>
      <w:pPr>
        <w:pStyle w:val="Heading1"/>
      </w:pPr>
      <w:r>
        <w:t xml:space="preserve">S4 Encoder Similarity Geometry</w:t>
      </w:r>
    </w:p>
    <w:p>
      <w:pPr>
        <w:pStyle w:val="FirstParagraph"/>
      </w:pPr>
      <w:r>
        <w:t xml:space="preserve">Figure S6 compares cosine similarities for random patient pairs and nearest-neighbor pairs. The 3 larger encoders produced broadly unimodal random-pair distributions. bge-small-en-v1.5 showed multiple modes at high similarity values, prompting a descriptive analysis of the corresponding narrative wording.</w:t>
      </w:r>
    </w:p>
    <w:p>
      <w:pPr>
        <w:pStyle w:val="BodyText"/>
      </w:pPr>
      <w:r>
        <w:t xml:space="preserve">A bge-small-en-v1.5</w:t>
      </w:r>
    </w:p>
    <w:p>
      <w:pPr>
        <w:pStyle w:val="BodyText"/>
      </w:pPr>
      <w:r>
        <w:drawing>
          <wp:inline>
            <wp:extent cx="5303520" cy="2863900"/>
            <wp:effectExtent b="0" l="0" r="0" t="0"/>
            <wp:docPr descr="" title="" id="78" name="Picture"/>
            <a:graphic>
              <a:graphicData uri="http://schemas.openxmlformats.org/drawingml/2006/picture">
                <pic:pic>
                  <pic:nvPicPr>
                    <pic:cNvPr descr="../exports/results/bge-small-en-v1.5/google_medgemma-27b-text-it/cosine_score_random_vs_neighbor.png" id="79" name="Picture"/>
                    <pic:cNvPicPr>
                      <a:picLocks noChangeArrowheads="1" noChangeAspect="1"/>
                    </pic:cNvPicPr>
                  </pic:nvPicPr>
                  <pic:blipFill>
                    <a:blip r:embed="rId7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bge-en-icl</w:t>
      </w:r>
    </w:p>
    <w:p>
      <w:pPr>
        <w:pStyle w:val="BodyText"/>
      </w:pPr>
      <w:r>
        <w:drawing>
          <wp:inline>
            <wp:extent cx="5303520" cy="2863900"/>
            <wp:effectExtent b="0" l="0" r="0" t="0"/>
            <wp:docPr descr="" title="" id="81" name="Picture"/>
            <a:graphic>
              <a:graphicData uri="http://schemas.openxmlformats.org/drawingml/2006/picture">
                <pic:pic>
                  <pic:nvPicPr>
                    <pic:cNvPr descr="../exports/results/bge-en-icl/google_medgemma-27b-text-it/cosine_score_random_vs_neighbor.png" id="82" name="Picture"/>
                    <pic:cNvPicPr>
                      <a:picLocks noChangeArrowheads="1" noChangeAspect="1"/>
                    </pic:cNvPicPr>
                  </pic:nvPicPr>
                  <pic:blipFill>
                    <a:blip r:embed="rId8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Qwen3-Embedding-4B</w:t>
      </w:r>
    </w:p>
    <w:p>
      <w:pPr>
        <w:pStyle w:val="BodyText"/>
      </w:pPr>
      <w:r>
        <w:drawing>
          <wp:inline>
            <wp:extent cx="5303520" cy="2863900"/>
            <wp:effectExtent b="0" l="0" r="0" t="0"/>
            <wp:docPr descr="" title="" id="84" name="Picture"/>
            <a:graphic>
              <a:graphicData uri="http://schemas.openxmlformats.org/drawingml/2006/picture">
                <pic:pic>
                  <pic:nvPicPr>
                    <pic:cNvPr descr="../exports/results/Qwen-Qwen3-Embedding-4B/google_medgemma-27b-text-it/cosine_score_random_vs_neighbor.png" id="85" name="Picture"/>
                    <pic:cNvPicPr>
                      <a:picLocks noChangeArrowheads="1" noChangeAspect="1"/>
                    </pic:cNvPicPr>
                  </pic:nvPicPr>
                  <pic:blipFill>
                    <a:blip r:embed="rId8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Qwen3-Embedding-8B</w:t>
      </w:r>
    </w:p>
    <w:p>
      <w:pPr>
        <w:pStyle w:val="BodyText"/>
      </w:pPr>
      <w:r>
        <w:drawing>
          <wp:inline>
            <wp:extent cx="5303520" cy="2863900"/>
            <wp:effectExtent b="0" l="0" r="0" t="0"/>
            <wp:docPr descr="" title="" id="87" name="Picture"/>
            <a:graphic>
              <a:graphicData uri="http://schemas.openxmlformats.org/drawingml/2006/picture">
                <pic:pic>
                  <pic:nvPicPr>
                    <pic:cNvPr descr="../exports/results/Qwen-Qwen3-Embedding-8B/google_medgemma-27b-text-it/cosine_score_random_vs_neighbor.png" id="88" name="Picture"/>
                    <pic:cNvPicPr>
                      <a:picLocks noChangeArrowheads="1" noChangeAspect="1"/>
                    </pic:cNvPicPr>
                  </pic:nvPicPr>
                  <pic:blipFill>
                    <a:blip r:embed="rId8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S6. Cosine similarity for random pairs (red) and nearest-neighbor pairs (green) for bge-small-en-v1.5 (A), bge-en-icl (B), Qwen3-Embedding-4B (C), and Qwen3-Embedding-8B (D). Axis ranges differ across encoders. The smallest encoder shows a multimodal random-pair distribution.</w:t>
      </w:r>
    </w:p>
    <w:p>
      <w:pPr>
        <w:pStyle w:val="BodyText"/>
      </w:pPr>
      <w:r>
        <w:t xml:space="preserve">K-means clustering of L2-normalized bge-small embeddings (k=2) separated 42,579 patients into groups of 14,438 and 28,141. The partition closely tracked whether the narrative contained the token</w:t>
      </w:r>
      <w:r>
        <w:t xml:space="preserve"> </w:t>
      </w:r>
      <w:r>
        <w:t xml:space="preserve">“episode”</w:t>
      </w:r>
      <w:r>
        <w:t xml:space="preserve"> </w:t>
      </w:r>
      <w:r>
        <w:t xml:space="preserve">(Table S5).</w:t>
      </w:r>
    </w:p>
    <w:p>
      <w:pPr>
        <w:pStyle w:val="BodyText"/>
      </w:pPr>
      <w:r>
        <w:t xml:space="preserve">The token occurs in</w:t>
      </w:r>
      <w:r>
        <w:t xml:space="preserve"> </w:t>
      </w:r>
      <w:r>
        <w:t xml:space="preserve">“Single Episode”</w:t>
      </w:r>
      <w:r>
        <w:t xml:space="preserve"> </w:t>
      </w:r>
      <w:r>
        <w:t xml:space="preserve">but not</w:t>
      </w:r>
      <w:r>
        <w:t xml:space="preserve"> </w:t>
      </w:r>
      <w:r>
        <w:t xml:space="preserve">“Recurrent”</w:t>
      </w:r>
      <w:r>
        <w:t xml:space="preserve"> </w:t>
      </w:r>
      <w:r>
        <w:t xml:space="preserve">or</w:t>
      </w:r>
      <w:r>
        <w:t xml:space="preserve"> </w:t>
      </w:r>
      <w:r>
        <w:t xml:space="preserve">“Dysthymia.”</w:t>
      </w:r>
      <w:r>
        <w:t xml:space="preserve"> </w:t>
      </w:r>
      <w:r>
        <w:t xml:space="preserve">Thus, the partition should not be described simply as recurrent versus nonrecurrent depression.</w:t>
      </w:r>
    </w:p>
    <w:p>
      <w:pPr>
        <w:pStyle w:val="BodyText"/>
      </w:pPr>
      <w:r>
        <w:t xml:space="preserve">Cluster B (n=28,141) largely comprised narratives containing</w:t>
      </w:r>
      <w:r>
        <w:t xml:space="preserve"> </w:t>
      </w:r>
      <w:r>
        <w:t xml:space="preserve">“episode”</w:t>
      </w:r>
      <w:r>
        <w:t xml:space="preserve">; the full cohort contained 28,206 patients coded single episode.</w:t>
      </w:r>
    </w:p>
    <w:p>
      <w:pPr>
        <w:pStyle w:val="BodyText"/>
      </w:pPr>
      <w:r>
        <w:t xml:space="preserve">Cluster A (n=14,438) largely lacked</w:t>
      </w:r>
      <w:r>
        <w:t xml:space="preserve"> </w:t>
      </w:r>
      <w:r>
        <w:t xml:space="preserve">“episode”</w:t>
      </w:r>
      <w:r>
        <w:t xml:space="preserve"> </w:t>
      </w:r>
      <w:r>
        <w:t xml:space="preserve">and included both recurrent and other depression codes. The full cohort contained 11,213 recurrent-coded patients.</w:t>
      </w:r>
    </w:p>
    <w:p>
      <w:pPr>
        <w:pStyle w:val="BodyText"/>
      </w:pPr>
      <w:r>
        <w:t xml:space="preserve">Table S5. Fraction of narratives containing selected tokens within each top-level k-means cluster. Cluster A has 14,438 patients and cluster B has 28,141.</w:t>
      </w:r>
      <w:r>
        <w:t xml:space="preserve"> </w:t>
      </w:r>
      <w:r>
        <w:t xml:space="preserve">“Single”</w:t>
      </w:r>
      <w:r>
        <w:t xml:space="preserve"> </w:t>
      </w:r>
      <w:r>
        <w:t xml:space="preserve">may also denote marital status.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Token</w:t>
            </w:r>
          </w:p>
        </w:tc>
        <w:tc>
          <w:tcPr/>
          <w:p>
            <w:pPr>
              <w:pStyle w:val="Compact"/>
              <w:jc w:val="left"/>
            </w:pPr>
            <w:r>
              <w:rPr>
                <w:b/>
                <w:bCs/>
              </w:rPr>
              <w:t xml:space="preserve">P(present | cluster A)</w:t>
            </w:r>
          </w:p>
        </w:tc>
        <w:tc>
          <w:tcPr/>
          <w:p>
            <w:pPr>
              <w:pStyle w:val="Compact"/>
              <w:jc w:val="left"/>
            </w:pPr>
            <w:r>
              <w:rPr>
                <w:b/>
                <w:bCs/>
              </w:rPr>
              <w:t xml:space="preserve">P(present | cluster B)</w:t>
            </w:r>
          </w:p>
        </w:tc>
        <w:tc>
          <w:tcPr/>
          <w:p>
            <w:pPr>
              <w:pStyle w:val="Compact"/>
              <w:jc w:val="left"/>
            </w:pPr>
            <w:r>
              <w:rPr>
                <w:b/>
                <w:bCs/>
              </w:rPr>
              <w:t xml:space="preserve">|Δ|</w:t>
            </w:r>
          </w:p>
        </w:tc>
      </w:tr>
      <w:tr>
        <w:tc>
          <w:tcPr/>
          <w:p>
            <w:pPr>
              <w:pStyle w:val="Compact"/>
              <w:jc w:val="left"/>
            </w:pPr>
            <w:r>
              <w:t xml:space="preserve">episode</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recurrent</w:t>
            </w:r>
          </w:p>
        </w:tc>
        <w:tc>
          <w:tcPr/>
          <w:p>
            <w:pPr>
              <w:pStyle w:val="Compact"/>
              <w:jc w:val="left"/>
            </w:pPr>
            <w:r>
              <w:t xml:space="preserve">0.78</w:t>
            </w:r>
          </w:p>
        </w:tc>
        <w:tc>
          <w:tcPr/>
          <w:p>
            <w:pPr>
              <w:pStyle w:val="Compact"/>
              <w:jc w:val="left"/>
            </w:pPr>
            <w:r>
              <w:t xml:space="preserve">0.00</w:t>
            </w:r>
          </w:p>
        </w:tc>
        <w:tc>
          <w:tcPr/>
          <w:p>
            <w:pPr>
              <w:pStyle w:val="Compact"/>
              <w:jc w:val="left"/>
            </w:pPr>
            <w:r>
              <w:t xml:space="preserve">0.78</w:t>
            </w:r>
          </w:p>
        </w:tc>
      </w:tr>
      <w:tr>
        <w:tc>
          <w:tcPr/>
          <w:p>
            <w:pPr>
              <w:pStyle w:val="Compact"/>
              <w:jc w:val="left"/>
            </w:pPr>
            <w:r>
              <w:t xml:space="preserve">single</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0.70</w:t>
            </w:r>
          </w:p>
        </w:tc>
      </w:tr>
      <w:tr>
        <w:tc>
          <w:tcPr/>
          <w:p>
            <w:pPr>
              <w:pStyle w:val="Compact"/>
              <w:jc w:val="left"/>
            </w:pPr>
            <w:r>
              <w:t xml:space="preserve">unspecified</w:t>
            </w:r>
          </w:p>
        </w:tc>
        <w:tc>
          <w:tcPr/>
          <w:p>
            <w:pPr>
              <w:pStyle w:val="Compact"/>
              <w:jc w:val="left"/>
            </w:pPr>
            <w:r>
              <w:t xml:space="preserve">0.39</w:t>
            </w:r>
          </w:p>
        </w:tc>
        <w:tc>
          <w:tcPr/>
          <w:p>
            <w:pPr>
              <w:pStyle w:val="Compact"/>
              <w:jc w:val="left"/>
            </w:pPr>
            <w:r>
              <w:t xml:space="preserve">0.83</w:t>
            </w:r>
          </w:p>
        </w:tc>
        <w:tc>
          <w:tcPr/>
          <w:p>
            <w:pPr>
              <w:pStyle w:val="Compact"/>
              <w:jc w:val="left"/>
            </w:pPr>
            <w:r>
              <w:t xml:space="preserve">0.45</w:t>
            </w:r>
          </w:p>
        </w:tc>
      </w:tr>
      <w:tr>
        <w:tc>
          <w:tcPr/>
          <w:p>
            <w:pPr>
              <w:pStyle w:val="Compact"/>
              <w:jc w:val="left"/>
            </w:pPr>
            <w:r>
              <w:t xml:space="preserve">moderate</w:t>
            </w:r>
          </w:p>
        </w:tc>
        <w:tc>
          <w:tcPr/>
          <w:p>
            <w:pPr>
              <w:pStyle w:val="Compact"/>
              <w:jc w:val="left"/>
            </w:pPr>
            <w:r>
              <w:t xml:space="preserve">0.32</w:t>
            </w:r>
          </w:p>
        </w:tc>
        <w:tc>
          <w:tcPr/>
          <w:p>
            <w:pPr>
              <w:pStyle w:val="Compact"/>
              <w:jc w:val="left"/>
            </w:pPr>
            <w:r>
              <w:t xml:space="preserve">0.09</w:t>
            </w:r>
          </w:p>
        </w:tc>
        <w:tc>
          <w:tcPr/>
          <w:p>
            <w:pPr>
              <w:pStyle w:val="Compact"/>
              <w:jc w:val="left"/>
            </w:pPr>
            <w:r>
              <w:t xml:space="preserve">0.23</w:t>
            </w:r>
          </w:p>
        </w:tc>
      </w:tr>
    </w:tbl>
    <w:p>
      <w:pPr>
        <w:pStyle w:val="FirstParagraph"/>
      </w:pPr>
      <w:r>
        <w:t xml:space="preserve">Figure S7 stratifies pairwise similarities by token agreement. Blue denotes pairs agreeing on token presence, red denotes disagreement, and gray denotes all pairs.</w:t>
      </w:r>
    </w:p>
    <w:p>
      <w:pPr>
        <w:pStyle w:val="BodyText"/>
      </w:pPr>
      <w:r>
        <w:t xml:space="preserve">Across the cohort, pairs agreeing on</w:t>
      </w:r>
      <w:r>
        <w:t xml:space="preserve"> </w:t>
      </w:r>
      <w:r>
        <w:t xml:space="preserve">“episode”</w:t>
      </w:r>
      <w:r>
        <w:t xml:space="preserve"> </w:t>
      </w:r>
      <w:r>
        <w:t xml:space="preserve">had higher similarities than pairs differing on that token (Figure S7A). This association links the observed modes to diagnostic wording but does not isolate a causal token effect from correlated clinical information.</w:t>
      </w:r>
    </w:p>
    <w:p>
      <w:pPr>
        <w:pStyle w:val="BodyText"/>
      </w:pPr>
      <w:r>
        <w:t xml:space="preserve">Within cluster A, the same comparison using</w:t>
      </w:r>
      <w:r>
        <w:t xml:space="preserve"> </w:t>
      </w:r>
      <w:r>
        <w:t xml:space="preserve">“recurrent”</w:t>
      </w:r>
      <w:r>
        <w:t xml:space="preserve"> </w:t>
      </w:r>
      <w:r>
        <w:t xml:space="preserve">again separated similarity distributions (Figure S7B). The nested k-means subgroups contained 11,425 and 3,013 patients; these cluster sizes should not be equated with diagnosis-code counts.</w:t>
      </w:r>
    </w:p>
    <w:p>
      <w:pPr>
        <w:pStyle w:val="BodyText"/>
      </w:pPr>
      <w:r>
        <w:t xml:space="preserve">Within cluster B, similarity distributions showed little separation by the</w:t>
      </w:r>
      <w:r>
        <w:t xml:space="preserve"> </w:t>
      </w:r>
      <w:r>
        <w:t xml:space="preserve">“Missing”</w:t>
      </w:r>
      <w:r>
        <w:t xml:space="preserve"> </w:t>
      </w:r>
      <w:r>
        <w:t xml:space="preserve">token. Nested cluster results are summarized in Table S6.</w:t>
      </w:r>
    </w:p>
    <w:p>
      <w:pPr>
        <w:pStyle w:val="BodyText"/>
      </w:pPr>
      <w:r>
        <w:t xml:space="preserve">A All patients</w:t>
      </w:r>
    </w:p>
    <w:p>
      <w:pPr>
        <w:pStyle w:val="BodyText"/>
      </w:pPr>
      <w:r>
        <w:drawing>
          <wp:inline>
            <wp:extent cx="5303520" cy="2846563"/>
            <wp:effectExtent b="0" l="0" r="0" t="0"/>
            <wp:docPr descr="" title="" id="90" name="Picture"/>
            <a:graphic>
              <a:graphicData uri="http://schemas.openxmlformats.org/drawingml/2006/picture">
                <pic:pic>
                  <pic:nvPicPr>
                    <pic:cNvPr descr="../exports/results/notebook_figures/bge_small_recurrence_bimodality.png" id="91" name="Picture"/>
                    <pic:cNvPicPr>
                      <a:picLocks noChangeArrowheads="1" noChangeAspect="1"/>
                    </pic:cNvPicPr>
                  </pic:nvPicPr>
                  <pic:blipFill>
                    <a:blip r:embed="rId89"/>
                    <a:stretch>
                      <a:fillRect/>
                    </a:stretch>
                  </pic:blipFill>
                  <pic:spPr bwMode="auto">
                    <a:xfrm>
                      <a:off x="0" y="0"/>
                      <a:ext cx="5303520" cy="2846563"/>
                    </a:xfrm>
                    <a:prstGeom prst="rect">
                      <a:avLst/>
                    </a:prstGeom>
                    <a:noFill/>
                    <a:ln w="9525">
                      <a:noFill/>
                      <a:headEnd/>
                      <a:tailEnd/>
                    </a:ln>
                  </pic:spPr>
                </pic:pic>
              </a:graphicData>
            </a:graphic>
          </wp:inline>
        </w:drawing>
      </w:r>
    </w:p>
    <w:p>
      <w:pPr>
        <w:pStyle w:val="BodyText"/>
      </w:pPr>
      <w:r>
        <w:t xml:space="preserve">B Cluster A</w:t>
      </w:r>
    </w:p>
    <w:p>
      <w:pPr>
        <w:pStyle w:val="BodyText"/>
      </w:pPr>
      <w:r>
        <w:drawing>
          <wp:inline>
            <wp:extent cx="5303520" cy="2846563"/>
            <wp:effectExtent b="0" l="0" r="0" t="0"/>
            <wp:docPr descr="" title="" id="93" name="Picture"/>
            <a:graphic>
              <a:graphicData uri="http://schemas.openxmlformats.org/drawingml/2006/picture">
                <pic:pic>
                  <pic:nvPicPr>
                    <pic:cNvPr descr="../exports/results/notebook_figures/bge_small_cluster0_subsplit.png" id="94" name="Picture"/>
                    <pic:cNvPicPr>
                      <a:picLocks noChangeArrowheads="1" noChangeAspect="1"/>
                    </pic:cNvPicPr>
                  </pic:nvPicPr>
                  <pic:blipFill>
                    <a:blip r:embed="rId92"/>
                    <a:stretch>
                      <a:fillRect/>
                    </a:stretch>
                  </pic:blipFill>
                  <pic:spPr bwMode="auto">
                    <a:xfrm>
                      <a:off x="0" y="0"/>
                      <a:ext cx="5303520" cy="2846563"/>
                    </a:xfrm>
                    <a:prstGeom prst="rect">
                      <a:avLst/>
                    </a:prstGeom>
                    <a:noFill/>
                    <a:ln w="9525">
                      <a:noFill/>
                      <a:headEnd/>
                      <a:tailEnd/>
                    </a:ln>
                  </pic:spPr>
                </pic:pic>
              </a:graphicData>
            </a:graphic>
          </wp:inline>
        </w:drawing>
      </w:r>
    </w:p>
    <w:p>
      <w:pPr>
        <w:pStyle w:val="BodyText"/>
      </w:pPr>
      <w:r>
        <w:t xml:space="preserve">Figure S7. Pairwise similarity by agreement on</w:t>
      </w:r>
      <w:r>
        <w:t xml:space="preserve"> </w:t>
      </w:r>
      <w:r>
        <w:t xml:space="preserve">“episode”</w:t>
      </w:r>
      <w:r>
        <w:t xml:space="preserve"> </w:t>
      </w:r>
      <w:r>
        <w:t xml:space="preserve">across the cohort (A) and on</w:t>
      </w:r>
      <w:r>
        <w:t xml:space="preserve"> </w:t>
      </w:r>
      <w:r>
        <w:t xml:space="preserve">“recurrent”</w:t>
      </w:r>
      <w:r>
        <w:t xml:space="preserve"> </w:t>
      </w:r>
      <w:r>
        <w:t xml:space="preserve">within cluster A (B). Blue denotes token agreement, red disagreement, and gray all pairs. The analysis is descriptive and does not establish that wording alone causes the separation.</w:t>
      </w:r>
    </w:p>
    <w:p>
      <w:pPr>
        <w:pStyle w:val="BodyText"/>
      </w:pPr>
      <w:r>
        <w:t xml:space="preserve">We re-ran k-means (k=2) within each parent cluster and described separation using the cosine silhouette in a seeded 5,000-patient subsample. The top-level silhouette was 0.48.</w:t>
      </w:r>
    </w:p>
    <w:p>
      <w:pPr>
        <w:pStyle w:val="BodyText"/>
      </w:pPr>
      <w:r>
        <w:t xml:space="preserve">Silhouette values summarize within- versus between-cluster similarity and are descriptive, not hypothesis tests. They do not by themselves establish discrete biological or clinical subgroups.</w:t>
      </w:r>
    </w:p>
    <w:p>
      <w:pPr>
        <w:pStyle w:val="BodyText"/>
      </w:pPr>
      <w:r>
        <w:t xml:space="preserve">Cluster A had a nested silhouette of 0.69. The larger subgroup (n=11,425) contained</w:t>
      </w:r>
      <w:r>
        <w:t xml:space="preserve"> </w:t>
      </w:r>
      <w:r>
        <w:t xml:space="preserve">“recurrent”</w:t>
      </w:r>
      <w:r>
        <w:t xml:space="preserve"> </w:t>
      </w:r>
      <w:r>
        <w:t xml:space="preserve">in 98% of narratives, whereas the smaller subgroup (n=3,013) contained</w:t>
      </w:r>
      <w:r>
        <w:t xml:space="preserve"> </w:t>
      </w:r>
      <w:r>
        <w:t xml:space="preserve">“unspecified”</w:t>
      </w:r>
      <w:r>
        <w:t xml:space="preserve"> </w:t>
      </w:r>
      <w:r>
        <w:t xml:space="preserve">in all narratives. Cluster B had weaker separation (silhouette 0.21);</w:t>
      </w:r>
      <w:r>
        <w:t xml:space="preserve"> </w:t>
      </w:r>
      <w:r>
        <w:t xml:space="preserve">“Missing”</w:t>
      </w:r>
      <w:r>
        <w:t xml:space="preserve"> </w:t>
      </w:r>
      <w:r>
        <w:t xml:space="preserve">appeared in 88% versus 2% of its subgroups. Medication tokens also differed, consistent with differences in record content.</w:t>
      </w:r>
    </w:p>
    <w:p>
      <w:pPr>
        <w:pStyle w:val="BodyText"/>
      </w:pPr>
      <w:r>
        <w:t xml:space="preserve">Table S6. Nested k-means results within each parent cluster. Token proportions describe presence in the 2 subgroups. The top-level cosine silhouette was 0.48; higher values indicate greater geometric separation, without establishing clinical validity.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Parent cluster (n)</w:t>
            </w:r>
          </w:p>
        </w:tc>
        <w:tc>
          <w:tcPr/>
          <w:p>
            <w:pPr>
              <w:pStyle w:val="Compact"/>
              <w:jc w:val="left"/>
            </w:pPr>
            <w:r>
              <w:rPr>
                <w:b/>
                <w:bCs/>
              </w:rPr>
              <w:t xml:space="preserve">Splits into (n / n)</w:t>
            </w:r>
          </w:p>
        </w:tc>
        <w:tc>
          <w:tcPr/>
          <w:p>
            <w:pPr>
              <w:pStyle w:val="Compact"/>
              <w:jc w:val="left"/>
            </w:pPr>
            <w:r>
              <w:rPr>
                <w:b/>
                <w:bCs/>
              </w:rPr>
              <w:t xml:space="preserve">Driving token</w:t>
            </w:r>
          </w:p>
        </w:tc>
        <w:tc>
          <w:tcPr/>
          <w:p>
            <w:pPr>
              <w:pStyle w:val="Compact"/>
              <w:jc w:val="left"/>
            </w:pPr>
            <w:r>
              <w:rPr>
                <w:b/>
                <w:bCs/>
              </w:rPr>
              <w:t xml:space="preserve">Token present, sub 1 / sub 2</w:t>
            </w:r>
          </w:p>
        </w:tc>
        <w:tc>
          <w:tcPr/>
          <w:p>
            <w:pPr>
              <w:pStyle w:val="Compact"/>
              <w:jc w:val="left"/>
            </w:pPr>
            <w:r>
              <w:rPr>
                <w:b/>
                <w:bCs/>
              </w:rPr>
              <w:t xml:space="preserve">Split silhouette (top level = 0.48)</w:t>
            </w:r>
          </w:p>
        </w:tc>
        <w:tc>
          <w:tcPr/>
          <w:p>
            <w:pPr>
              <w:pStyle w:val="Compact"/>
              <w:jc w:val="left"/>
            </w:pPr>
            <w:r>
              <w:rPr>
                <w:b/>
                <w:bCs/>
              </w:rPr>
              <w:t xml:space="preserve">Separation</w:t>
            </w:r>
          </w:p>
        </w:tc>
      </w:tr>
      <w:tr>
        <w:tc>
          <w:tcPr/>
          <w:p>
            <w:pPr>
              <w:pStyle w:val="Compact"/>
              <w:jc w:val="left"/>
            </w:pPr>
            <w:r>
              <w:t xml:space="preserve">A: no</w:t>
            </w:r>
            <w:r>
              <w:t xml:space="preserve"> </w:t>
            </w:r>
            <w:r>
              <w:t xml:space="preserve">“episode”</w:t>
            </w:r>
            <w:r>
              <w:t xml:space="preserve"> </w:t>
            </w:r>
            <w:r>
              <w:t xml:space="preserve">token (14,438)</w:t>
            </w:r>
          </w:p>
        </w:tc>
        <w:tc>
          <w:tcPr/>
          <w:p>
            <w:pPr>
              <w:pStyle w:val="Compact"/>
              <w:jc w:val="left"/>
            </w:pPr>
            <w:r>
              <w:t xml:space="preserve">recurrent + severity (11,425) / unspecified (3,013)</w:t>
            </w:r>
          </w:p>
        </w:tc>
        <w:tc>
          <w:tcPr/>
          <w:p>
            <w:pPr>
              <w:pStyle w:val="Compact"/>
              <w:jc w:val="left"/>
            </w:pPr>
            <w:r>
              <w:t xml:space="preserve">recurrent</w:t>
            </w:r>
          </w:p>
        </w:tc>
        <w:tc>
          <w:tcPr/>
          <w:p>
            <w:pPr>
              <w:pStyle w:val="Compact"/>
              <w:jc w:val="left"/>
            </w:pPr>
            <w:r>
              <w:t xml:space="preserve">0.98 / 0.00</w:t>
            </w:r>
          </w:p>
        </w:tc>
        <w:tc>
          <w:tcPr/>
          <w:p>
            <w:pPr>
              <w:pStyle w:val="Compact"/>
              <w:jc w:val="left"/>
            </w:pPr>
            <w:r>
              <w:t xml:space="preserve">0.69</w:t>
            </w:r>
          </w:p>
        </w:tc>
        <w:tc>
          <w:tcPr/>
          <w:p>
            <w:pPr>
              <w:pStyle w:val="Compact"/>
              <w:jc w:val="left"/>
            </w:pPr>
            <w:r>
              <w:t xml:space="preserve">Stronger</w:t>
            </w:r>
          </w:p>
        </w:tc>
      </w:tr>
      <w:tr>
        <w:tc>
          <w:tcPr/>
          <w:p>
            <w:pPr>
              <w:pStyle w:val="Compact"/>
              <w:jc w:val="left"/>
            </w:pPr>
            <w:r>
              <w:t xml:space="preserve">B: single-episode (28,141)</w:t>
            </w:r>
          </w:p>
        </w:tc>
        <w:tc>
          <w:tcPr/>
          <w:p>
            <w:pPr>
              <w:pStyle w:val="Compact"/>
              <w:jc w:val="left"/>
            </w:pPr>
            <w:r>
              <w:t xml:space="preserve">sparse record (6,594) / populated record (21,547)</w:t>
            </w:r>
          </w:p>
        </w:tc>
        <w:tc>
          <w:tcPr/>
          <w:p>
            <w:pPr>
              <w:pStyle w:val="Compact"/>
              <w:jc w:val="left"/>
            </w:pPr>
            <w:r>
              <w:t xml:space="preserve">missing</w:t>
            </w:r>
          </w:p>
        </w:tc>
        <w:tc>
          <w:tcPr/>
          <w:p>
            <w:pPr>
              <w:pStyle w:val="Compact"/>
              <w:jc w:val="left"/>
            </w:pPr>
            <w:r>
              <w:t xml:space="preserve">0.88 / 0.02</w:t>
            </w:r>
          </w:p>
        </w:tc>
        <w:tc>
          <w:tcPr/>
          <w:p>
            <w:pPr>
              <w:pStyle w:val="Compact"/>
              <w:jc w:val="left"/>
            </w:pPr>
            <w:r>
              <w:t xml:space="preserve">0.21</w:t>
            </w:r>
          </w:p>
        </w:tc>
        <w:tc>
          <w:tcPr/>
          <w:p>
            <w:pPr>
              <w:pStyle w:val="Compact"/>
              <w:jc w:val="left"/>
            </w:pPr>
            <w:r>
              <w:t xml:space="preserve">Weaker</w:t>
            </w:r>
          </w:p>
        </w:tc>
      </w:tr>
    </w:tbl>
    <w:p>
      <w:pPr>
        <w:pStyle w:val="FirstParagraph"/>
      </w:pPr>
      <w:r>
        <w:t xml:space="preserve">These findings show sensitivity of the smallest encoder’s geometry to diagnostic wording and missing-value tokens. They may help explain its retrieval behavior, but do not establish why its discrimination was lower (Table S15). Primary analyses used Qwen3-Embedding-8B.</w:t>
      </w:r>
    </w:p>
    <w:bookmarkEnd w:id="95"/>
    <w:bookmarkStart w:id="96" w:name="_5c48de31bbacefba0a4c9180d4a3c6aa5ea51ef"/>
    <w:p>
      <w:pPr>
        <w:pStyle w:val="Heading1"/>
      </w:pPr>
      <w:r>
        <w:t xml:space="preserve">S5 Example Patient Narratives</w:t>
      </w:r>
    </w:p>
    <w:p>
      <w:pPr>
        <w:pStyle w:val="FirstParagraph"/>
      </w:pPr>
      <w:r>
        <w:t xml:space="preserve">Two deterministic narratives are reproduced verbatim, one from each outcome class. They were selected as the first patient by sorted deidentified hash within each class using scripts/pipeline/neighbors/narrative_audit.py. Inputs contained structured EHR fields only. Fixed section order, explicit absence labels, and missing-value tokens formed the template.</w:t>
      </w:r>
    </w:p>
    <w:p>
      <w:pPr>
        <w:pStyle w:val="BodyText"/>
      </w:pPr>
      <w:r>
        <w:t xml:space="preserve">The original renderer uses</w:t>
      </w:r>
      <w:r>
        <w:t xml:space="preserve"> </w:t>
      </w:r>
      <w:r>
        <w:t xml:space="preserve">“anchor”</w:t>
      </w:r>
      <w:r>
        <w:t xml:space="preserve"> </w:t>
      </w:r>
      <w:r>
        <w:t xml:space="preserve">for the index and</w:t>
      </w:r>
      <w:r>
        <w:t xml:space="preserve"> </w:t>
      </w:r>
      <w:r>
        <w:t xml:space="preserve">“Baseline window”</w:t>
      </w:r>
      <w:r>
        <w:t xml:space="preserve"> </w:t>
      </w:r>
      <w:r>
        <w:t xml:space="preserve">for the lookback window. These labels are preserved because they show the actual encoder input.</w:t>
      </w:r>
    </w:p>
    <w:p>
      <w:pPr>
        <w:pStyle w:val="BodyText"/>
      </w:pPr>
      <w:r>
        <w:t xml:space="preserve">The examples show field asymmetries documented in section S10: narratives include vital signs, sexual orientation, index dates, raw sociodemographic values, and medication names. FEATURE omits some of these fields or uses coarser encodings, but includes total recorded history length. A missing sexual-orientation value appears as the literal token nan.</w:t>
      </w:r>
    </w:p>
    <w:p>
      <w:pPr>
        <w:pStyle w:val="BodyText"/>
      </w:pPr>
      <w:r>
        <w:t xml:space="preserve">TRD-positive example.</w:t>
      </w:r>
    </w:p>
    <w:p>
      <w:pPr>
        <w:pStyle w:val="SourceCode"/>
      </w:pPr>
      <w:r>
        <w:rPr>
          <w:rStyle w:val="VerbatimChar"/>
        </w:rPr>
        <w:t xml:space="preserve">### COHORT &amp; INDEX</w:t>
      </w:r>
      <w:r>
        <w:br/>
      </w:r>
      <w:r>
        <w:rPr>
          <w:rStyle w:val="VerbatimChar"/>
        </w:rPr>
        <w:t xml:space="preserve">Condition: MDD (Dysthymia, Unspecified) | Index date: 2022-10-06 | Baseline window: -730...0 days | MDD-to-anchor gap: 57 days | Encounters in window: 34 | MDD within window: Present</w:t>
      </w:r>
      <w:r>
        <w:br/>
      </w:r>
      <w:r>
        <w:br/>
      </w:r>
      <w:r>
        <w:rPr>
          <w:rStyle w:val="VerbatimChar"/>
        </w:rPr>
        <w:t xml:space="preserve">### SOCIODEMOGRAPHICS / ACCESS</w:t>
      </w:r>
      <w:r>
        <w:br/>
      </w:r>
      <w:r>
        <w:rPr>
          <w:rStyle w:val="VerbatimChar"/>
        </w:rPr>
        <w:t xml:space="preserve">Sex: Male | PreferredLanguage: English | AgeInYears: 37 | SexualOrientation: nan | MaritalStatus: Married | Religion: Baptist | SmokingStatus: Never | Race_Ethnicity: American Indian or Alaska Native</w:t>
      </w:r>
      <w:r>
        <w:br/>
      </w:r>
      <w:r>
        <w:rPr>
          <w:rStyle w:val="VerbatimChar"/>
        </w:rPr>
        <w:t xml:space="preserve">SDOH: None Recorded</w:t>
      </w:r>
      <w:r>
        <w:br/>
      </w:r>
      <w:r>
        <w:br/>
      </w:r>
      <w:r>
        <w:rPr>
          <w:rStyle w:val="VerbatimChar"/>
        </w:rPr>
        <w:t xml:space="preserve">### PHYSICAL HEALTH</w:t>
      </w:r>
      <w:r>
        <w:br/>
      </w:r>
      <w:r>
        <w:rPr>
          <w:rStyle w:val="VerbatimChar"/>
        </w:rPr>
        <w:t xml:space="preserve">BMI: 29.8 | BP (mean): 140/88</w:t>
      </w:r>
      <w:r>
        <w:br/>
      </w:r>
      <w:r>
        <w:br/>
      </w:r>
      <w:r>
        <w:rPr>
          <w:rStyle w:val="VerbatimChar"/>
        </w:rPr>
        <w:t xml:space="preserve">### PSYCH HISTORY</w:t>
      </w:r>
      <w:r>
        <w:br/>
      </w:r>
      <w:r>
        <w:rPr>
          <w:rStyle w:val="VerbatimChar"/>
        </w:rPr>
        <w:t xml:space="preserve">SOCIAL_ANXIETY: Absent | OCD: Absent | ANXIETY: Present | ADJUSTMENT_DISORDER: Absent | PTSD: Absent | DYSTHYMIA: Present | SUD: Present | INSOMNIA: Present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Present</w:t>
      </w:r>
      <w:r>
        <w:br/>
      </w:r>
      <w:r>
        <w:br/>
      </w:r>
      <w:r>
        <w:rPr>
          <w:rStyle w:val="VerbatimChar"/>
        </w:rPr>
        <w:t xml:space="preserve">### TREATMENT EXPOSURE</w:t>
      </w:r>
      <w:r>
        <w:br/>
      </w:r>
      <w:r>
        <w:rPr>
          <w:rStyle w:val="VerbatimChar"/>
        </w:rPr>
        <w:t xml:space="preserve">Prior adequate AD trials: MIRTAZAPINE: 0 | SSRI: 1 | VORTIOXETINE: 0 | BUPROPION: 0 | SNRI: 0</w:t>
      </w:r>
      <w:r>
        <w:br/>
      </w:r>
      <w:r>
        <w:rPr>
          <w:rStyle w:val="VerbatimChar"/>
        </w:rPr>
        <w:t xml:space="preserve">Benzodiazepine days (2y): 0</w:t>
      </w:r>
      <w:r>
        <w:br/>
      </w:r>
      <w:r>
        <w:rPr>
          <w:rStyle w:val="VerbatimChar"/>
        </w:rPr>
        <w:t xml:space="preserve">Hypnotics: eszopiclone</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p>
      <w:pPr>
        <w:pStyle w:val="FirstParagraph"/>
      </w:pPr>
      <w:r>
        <w:t xml:space="preserve">TRD-negative example.</w:t>
      </w:r>
    </w:p>
    <w:p>
      <w:pPr>
        <w:pStyle w:val="SourceCode"/>
      </w:pPr>
      <w:r>
        <w:rPr>
          <w:rStyle w:val="VerbatimChar"/>
        </w:rPr>
        <w:t xml:space="preserve">### COHORT &amp; INDEX</w:t>
      </w:r>
      <w:r>
        <w:br/>
      </w:r>
      <w:r>
        <w:rPr>
          <w:rStyle w:val="VerbatimChar"/>
        </w:rPr>
        <w:t xml:space="preserve">Condition: MDD (Recurrent, Moderate) | Index date: 2025-05-09 | Baseline window: -730...0 days | MDD-to-anchor gap: 0 days | Encounters in window: 2 | MDD within window: Present</w:t>
      </w:r>
      <w:r>
        <w:br/>
      </w:r>
      <w:r>
        <w:br/>
      </w:r>
      <w:r>
        <w:rPr>
          <w:rStyle w:val="VerbatimChar"/>
        </w:rPr>
        <w:t xml:space="preserve">### SOCIODEMOGRAPHICS / ACCESS</w:t>
      </w:r>
      <w:r>
        <w:br/>
      </w:r>
      <w:r>
        <w:rPr>
          <w:rStyle w:val="VerbatimChar"/>
        </w:rPr>
        <w:t xml:space="preserve">Sex: Female | PreferredLanguage: English | AgeInYears: 52 | SexualOrientation: nan | MaritalStatus: Single | Religion: Baptist | SmokingStatus: Every Day | Race_Ethnicity: White or Caucasian</w:t>
      </w:r>
      <w:r>
        <w:br/>
      </w:r>
      <w:r>
        <w:rPr>
          <w:rStyle w:val="VerbatimChar"/>
        </w:rPr>
        <w:t xml:space="preserve">SDOH: None Recorded</w:t>
      </w:r>
      <w:r>
        <w:br/>
      </w:r>
      <w:r>
        <w:br/>
      </w:r>
      <w:r>
        <w:rPr>
          <w:rStyle w:val="VerbatimChar"/>
        </w:rPr>
        <w:t xml:space="preserve">### PHYSICAL HEALTH</w:t>
      </w:r>
      <w:r>
        <w:br/>
      </w:r>
      <w:r>
        <w:rPr>
          <w:rStyle w:val="VerbatimChar"/>
        </w:rPr>
        <w:t xml:space="preserve">BMI: 35.6 | BP (mean): 138/86</w:t>
      </w:r>
      <w:r>
        <w:br/>
      </w:r>
      <w:r>
        <w:br/>
      </w:r>
      <w:r>
        <w:rPr>
          <w:rStyle w:val="VerbatimChar"/>
        </w:rPr>
        <w:t xml:space="preserve">### PSYCH HISTORY</w:t>
      </w:r>
      <w:r>
        <w:br/>
      </w:r>
      <w:r>
        <w:rPr>
          <w:rStyle w:val="VerbatimChar"/>
        </w:rPr>
        <w:t xml:space="preserve">SOCIAL_ANXIETY: Absent | OCD: Absent | ANXIETY: Present | ADJUSTMENT_DISORDER: Absent | PTSD: Absent | DYSTHYMIA: Absent | SUD: Present | INSOMNIA: Absent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Absent</w:t>
      </w:r>
      <w:r>
        <w:br/>
      </w:r>
      <w:r>
        <w:br/>
      </w:r>
      <w:r>
        <w:rPr>
          <w:rStyle w:val="VerbatimChar"/>
        </w:rPr>
        <w:t xml:space="preserve">### TREATMENT EXPOSURE</w:t>
      </w:r>
      <w:r>
        <w:br/>
      </w:r>
      <w:r>
        <w:rPr>
          <w:rStyle w:val="VerbatimChar"/>
        </w:rPr>
        <w:t xml:space="preserve">Prior adequate AD trials: MIRTAZAPINE: 0 | SSRI: 0 | VORTIOXETINE: 0 | BUPROPION: 0 | SNRI: 0</w:t>
      </w:r>
      <w:r>
        <w:br/>
      </w:r>
      <w:r>
        <w:rPr>
          <w:rStyle w:val="VerbatimChar"/>
        </w:rPr>
        <w:t xml:space="preserve">Benzodiazepine days (2y): 0</w:t>
      </w:r>
      <w:r>
        <w:br/>
      </w:r>
      <w:r>
        <w:rPr>
          <w:rStyle w:val="VerbatimChar"/>
        </w:rPr>
        <w:t xml:space="preserve">Hypnotics: Absent</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bookmarkEnd w:id="96"/>
    <w:bookmarkStart w:id="151" w:name="_941040992f17cd95ea753eef2b3c32a0d20580a"/>
    <w:p>
      <w:pPr>
        <w:pStyle w:val="Heading1"/>
      </w:pPr>
      <w:r>
        <w:t xml:space="preserve">S6 Neighbor Prediction</w:t>
      </w:r>
    </w:p>
    <w:p>
      <w:pPr>
        <w:pStyle w:val="FirstParagraph"/>
      </w:pPr>
      <w:r>
        <w:t xml:space="preserve">Retrieval over the embedding carried outcome information but did not reach the trained classifiers at any k. Random retrieval stayed at chance at every k: its band across draws covered 0.5 at every k from 1 to 34,063. Its best k, 32,720, reached 0.500 (2.5th–97.5th percentile across draws 0.484–0.515), and that k is noise (Table S7). At their best k, logistic-regression-weighted retrieval exceeded random by 0.125 (95% CI 0.103–0.147) and plain cosine by 0.118 (95% CI 0.096–0.140). These intervals combine bootstrap resampling of the test patients with the spread across the 1,000 random draws. AUPRC at each arm’s best k was 0.272 (95% CI 0.251–0.294) for logistic-regression-weighted, 0.264 (95% CI 0.244–0.286) for plain cosine, and 0.176 (95% CI 0.165–0.188) for random retrieval, against an outcome rate of 0.175 (95% CI 0.167–0.183) (section S2). Calibration is in section S3.</w:t>
      </w:r>
    </w:p>
    <w:p>
      <w:pPr>
        <w:pStyle w:val="BodyText"/>
      </w:pPr>
      <w:r>
        <w:t xml:space="preserve">Neighborhood size mattered more than the metric. Both curves rose with k up to a few hundred neighbors (manuscript Figure 4). From k = 261 onward, logistic-regression-weighted retrieval stayed inside the interval at its best k. Plain cosine retrieval peaked at k = 757 and then drifted down, to 0.605 (95% CI 0.589–0.620) at k = 16,988, still inside the interval at its best k. Each metric at its own best k differed by 0.007 (95% CI −0.001 to 0.014). The best k was selected on test patients, so those maxima are optimistic. Using every training patient as a neighbor involves no selection and gave 0.624 (95% CI 0.607–0.639) for the logistic-regression-weighted metric and 0.608 (95% CI 0.592–0.624) for plain cosine. The sharpening exponent changed the maxima by at most 0.002.</w:t>
      </w:r>
    </w:p>
    <w:p>
      <w:pPr>
        <w:pStyle w:val="BodyText"/>
      </w:pPr>
      <w:r>
        <w:t xml:space="preserve">The best retrieval result over every k and exponent was logistic-regression-weighted retrieval with</w:t>
      </w:r>
      <w:r>
        <w:t xml:space="preserve"> </w:t>
      </w:r>
      <m:oMath>
        <m:r>
          <m:t>α</m:t>
        </m:r>
      </m:oMath>
      <w:r>
        <w:t xml:space="preserve"> </w:t>
      </w:r>
      <w:r>
        <w:t xml:space="preserve">= 2 at k = 1,090, 0.625 (95% CI 0.610–0.640). It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the primary encoder by neighbor selection, similarity metric, and neighborhood size, with</w:t>
      </w:r>
      <w:r>
        <w:t xml:space="preserve"> </w:t>
      </w:r>
      <m:oMath>
        <m:r>
          <m:t>α</m:t>
        </m:r>
      </m:oMath>
      <w:r>
        <w:t xml:space="preserve"> </w:t>
      </w:r>
      <w:r>
        <w:t xml:space="preserve">= 1. Best k is the test-selected maximum and is optimistic. The uniform random row gives the mean across 1,000 draws and the 2.5th–97.5th percentile of the draws.</w:t>
      </w:r>
    </w:p>
    <w:tbl>
      <w:tblPr>
        <w:tblStyle w:val="Table"/>
        <w:tblW w:type="pct" w:w="5000"/>
        <w:tblLayout w:type="fixed"/>
        <w:tblLook w:firstRow="1" w:lastRow="0" w:firstColumn="0" w:lastColumn="0" w:noHBand="0" w:noVBand="0" w:val="0020"/>
      </w:tblPr>
      <w:tblGrid>
        <w:gridCol w:w="1131"/>
        <w:gridCol w:w="2262"/>
        <w:gridCol w:w="2036"/>
        <w:gridCol w:w="2489"/>
      </w:tblGrid>
      <w:tr>
        <w:trPr>
          <w:tblHeader w:val="on"/>
        </w:trPr>
        <w:tc>
          <w:tcPr/>
          <w:p>
            <w:pPr>
              <w:pStyle w:val="Compact"/>
            </w:pPr>
            <w:r>
              <w:rPr>
                <w:b/>
                <w:bCs/>
              </w:rPr>
              <w:t xml:space="preserve">Retrieval</w:t>
            </w:r>
          </w:p>
        </w:tc>
        <w:tc>
          <w:tcPr/>
          <w:p>
            <w:pPr>
              <w:pStyle w:val="Compact"/>
            </w:pPr>
            <w:r>
              <w:rPr>
                <w:b/>
                <w:bCs/>
              </w:rPr>
              <w:t xml:space="preserve">Similarity</w:t>
            </w:r>
          </w:p>
        </w:tc>
        <w:tc>
          <w:tcPr/>
          <w:p>
            <w:pPr>
              <w:pStyle w:val="Compact"/>
            </w:pPr>
            <w:r>
              <w:rPr>
                <w:b/>
                <w:bCs/>
              </w:rPr>
              <w:t xml:space="preserve">Neighbors (k)</w:t>
            </w:r>
          </w:p>
        </w:tc>
        <w:tc>
          <w:tcPr/>
          <w:p>
            <w:pPr>
              <w:pStyle w:val="Compact"/>
            </w:pPr>
            <w:r>
              <w:rPr>
                <w:b/>
                <w:bCs/>
              </w:rPr>
              <w:t xml:space="preserve">ROC AUC (95% CI)</w:t>
            </w:r>
          </w:p>
        </w:tc>
      </w:tr>
      <w:tr>
        <w:tc>
          <w:tcPr/>
          <w:p>
            <w:pPr>
              <w:pStyle w:val="Compact"/>
            </w:pPr>
            <w:r>
              <w:t xml:space="preserve">Nearest</w:t>
            </w:r>
          </w:p>
        </w:tc>
        <w:tc>
          <w:tcPr/>
          <w:p>
            <w:pPr>
              <w:pStyle w:val="Compact"/>
            </w:pPr>
            <w:r>
              <w:t xml:space="preserve">Plain cosine</w:t>
            </w:r>
          </w:p>
        </w:tc>
        <w:tc>
          <w:tcPr/>
          <w:p>
            <w:pPr>
              <w:pStyle w:val="Compact"/>
            </w:pPr>
            <w:r>
              <w:t xml:space="preserve">best, 757</w:t>
            </w:r>
          </w:p>
        </w:tc>
        <w:tc>
          <w:tcPr/>
          <w:p>
            <w:pPr>
              <w:pStyle w:val="Compact"/>
            </w:pPr>
            <w:r>
              <w:t xml:space="preserve">0.618 (0.602–0.634)</w:t>
            </w:r>
          </w:p>
        </w:tc>
      </w:tr>
      <w:tr>
        <w:tc>
          <w:tcPr/>
          <w:p>
            <w:pPr>
              <w:pStyle w:val="Compact"/>
            </w:pPr>
            <w:r>
              <w:t xml:space="preserve">Nearest</w:t>
            </w:r>
          </w:p>
        </w:tc>
        <w:tc>
          <w:tcPr/>
          <w:p>
            <w:pPr>
              <w:pStyle w:val="Compact"/>
            </w:pPr>
            <w:r>
              <w:t xml:space="preserve">Logistic-regression-weighted</w:t>
            </w:r>
          </w:p>
        </w:tc>
        <w:tc>
          <w:tcPr/>
          <w:p>
            <w:pPr>
              <w:pStyle w:val="Compact"/>
            </w:pPr>
            <w:r>
              <w:t xml:space="preserve">best, 295</w:t>
            </w:r>
          </w:p>
        </w:tc>
        <w:tc>
          <w:tcPr/>
          <w:p>
            <w:pPr>
              <w:pStyle w:val="Compact"/>
            </w:pPr>
            <w:r>
              <w:t xml:space="preserve">0.625 (0.610–0.641)</w:t>
            </w:r>
          </w:p>
        </w:tc>
      </w:tr>
      <w:tr>
        <w:tc>
          <w:tcPr/>
          <w:p>
            <w:pPr>
              <w:pStyle w:val="Compact"/>
            </w:pPr>
            <w:r>
              <w:t xml:space="preserve">Nearest</w:t>
            </w:r>
          </w:p>
        </w:tc>
        <w:tc>
          <w:tcPr/>
          <w:p>
            <w:pPr>
              <w:pStyle w:val="Compact"/>
            </w:pPr>
            <w:r>
              <w:t xml:space="preserve">Plain cosine</w:t>
            </w:r>
          </w:p>
        </w:tc>
        <w:tc>
          <w:tcPr/>
          <w:p>
            <w:pPr>
              <w:pStyle w:val="Compact"/>
            </w:pPr>
            <w:r>
              <w:t xml:space="preserve">all, 34,063</w:t>
            </w:r>
          </w:p>
        </w:tc>
        <w:tc>
          <w:tcPr/>
          <w:p>
            <w:pPr>
              <w:pStyle w:val="Compact"/>
            </w:pPr>
            <w:r>
              <w:t xml:space="preserve">0.608 (0.592–0.624)</w:t>
            </w:r>
          </w:p>
        </w:tc>
      </w:tr>
      <w:tr>
        <w:tc>
          <w:tcPr/>
          <w:p>
            <w:pPr>
              <w:pStyle w:val="Compact"/>
            </w:pPr>
            <w:r>
              <w:t xml:space="preserve">Nearest</w:t>
            </w:r>
          </w:p>
        </w:tc>
        <w:tc>
          <w:tcPr/>
          <w:p>
            <w:pPr>
              <w:pStyle w:val="Compact"/>
            </w:pPr>
            <w:r>
              <w:t xml:space="preserve">Logistic-regression-weighted</w:t>
            </w:r>
          </w:p>
        </w:tc>
        <w:tc>
          <w:tcPr/>
          <w:p>
            <w:pPr>
              <w:pStyle w:val="Compact"/>
            </w:pPr>
            <w:r>
              <w:t xml:space="preserve">all, 34,063</w:t>
            </w:r>
          </w:p>
        </w:tc>
        <w:tc>
          <w:tcPr/>
          <w:p>
            <w:pPr>
              <w:pStyle w:val="Compact"/>
            </w:pPr>
            <w:r>
              <w:t xml:space="preserve">0.624 (0.607–0.639)</w:t>
            </w:r>
          </w:p>
        </w:tc>
      </w:tr>
      <w:tr>
        <w:tc>
          <w:tcPr/>
          <w:p>
            <w:pPr>
              <w:pStyle w:val="Compact"/>
            </w:pPr>
            <w:r>
              <w:t xml:space="preserve">Random</w:t>
            </w:r>
          </w:p>
        </w:tc>
        <w:tc>
          <w:tcPr/>
          <w:p>
            <w:pPr>
              <w:pStyle w:val="Compact"/>
            </w:pPr>
            <w:r>
              <w:t xml:space="preserve">Uniform</w:t>
            </w:r>
          </w:p>
        </w:tc>
        <w:tc>
          <w:tcPr/>
          <w:p>
            <w:pPr>
              <w:pStyle w:val="Compact"/>
            </w:pPr>
            <w:r>
              <w:t xml:space="preserve">best, 32,720</w:t>
            </w:r>
          </w:p>
        </w:tc>
        <w:tc>
          <w:tcPr/>
          <w:p>
            <w:pPr>
              <w:pStyle w:val="Compact"/>
            </w:pPr>
            <w:r>
              <w:t xml:space="preserve">0.500 (0.484–0.515)</w:t>
            </w:r>
          </w:p>
        </w:tc>
      </w:tr>
    </w:tbl>
    <w:p>
      <w:pPr>
        <w:pStyle w:val="FirstParagraph"/>
      </w:pPr>
      <w:r>
        <w:t xml:space="preserve">Figures S8 and S9 draw ROC curves and confusion matrices only at each arm’s best k, for all 4 encoders. Panels A–C are the primary encoder’s 3 arms. Panels D–I are each other encoder’s 2 nearest-neighbor metrics, whose ROC AUCs at those k are reported in the manuscript (Nearest-Neighbor Retrieval Across Encoders). Random retrieval does not use the embedding, so it is drawn once, in panel C.</w:t>
      </w:r>
    </w:p>
    <w:p>
      <w:pPr>
        <w:pStyle w:val="BodyText"/>
      </w:pPr>
      <w:r>
        <w:t xml:space="preserve">A Qwen3-Embedding-8B, logistic-regression-weighted nearest retrieval, k = 295</w:t>
      </w:r>
    </w:p>
    <w:p>
      <w:pPr>
        <w:pStyle w:val="BodyText"/>
      </w:pPr>
      <w:r>
        <w:drawing>
          <wp:inline>
            <wp:extent cx="3657600" cy="1975104"/>
            <wp:effectExtent b="0" l="0" r="0" t="0"/>
            <wp:docPr descr="" title="" id="98" name="Picture"/>
            <a:graphic>
              <a:graphicData uri="http://schemas.openxmlformats.org/drawingml/2006/picture">
                <pic:pic>
                  <pic:nvPicPr>
                    <pic:cNvPr descr="../exports/results/Qwen-Qwen3-Embedding-8B/google_medgemma-27b-text-it/neighbor_count_sweep/best_k_panels/roc_curve_NEAREST_IMPORTANCE_WEIGHTED_alpha1_k295.png" id="99" name="Picture"/>
                    <pic:cNvPicPr>
                      <a:picLocks noChangeArrowheads="1" noChangeAspect="1"/>
                    </pic:cNvPicPr>
                  </pic:nvPicPr>
                  <pic:blipFill>
                    <a:blip r:embed="rId97"/>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3657600" cy="1975104"/>
            <wp:effectExtent b="0" l="0" r="0" t="0"/>
            <wp:docPr descr="" title="" id="101" name="Picture"/>
            <a:graphic>
              <a:graphicData uri="http://schemas.openxmlformats.org/drawingml/2006/picture">
                <pic:pic>
                  <pic:nvPicPr>
                    <pic:cNvPr descr="../exports/results/Qwen-Qwen3-Embedding-8B/google_medgemma-27b-text-it/neighbor_count_sweep/best_k_panels/roc_curve_NEAREST_PLAIN_COSINE_alpha1_k757.png" id="102" name="Picture"/>
                    <pic:cNvPicPr>
                      <a:picLocks noChangeArrowheads="1" noChangeAspect="1"/>
                    </pic:cNvPicPr>
                  </pic:nvPicPr>
                  <pic:blipFill>
                    <a:blip r:embed="rId100"/>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3657600" cy="1975104"/>
            <wp:effectExtent b="0" l="0" r="0" t="0"/>
            <wp:docPr descr="" title="" id="104" name="Picture"/>
            <a:graphic>
              <a:graphicData uri="http://schemas.openxmlformats.org/drawingml/2006/picture">
                <pic:pic>
                  <pic:nvPicPr>
                    <pic:cNvPr descr="../exports/results/Qwen-Qwen3-Embedding-8B/google_medgemma-27b-text-it/neighbor_count_sweep/best_k_panels/roc_curve_RANDOM_UNIFORM_k32720.png" id="105" name="Picture"/>
                    <pic:cNvPicPr>
                      <a:picLocks noChangeArrowheads="1" noChangeAspect="1"/>
                    </pic:cNvPicPr>
                  </pic:nvPicPr>
                  <pic:blipFill>
                    <a:blip r:embed="rId103"/>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3657600" cy="1975104"/>
            <wp:effectExtent b="0" l="0" r="0" t="0"/>
            <wp:docPr descr="" title="" id="107" name="Picture"/>
            <a:graphic>
              <a:graphicData uri="http://schemas.openxmlformats.org/drawingml/2006/picture">
                <pic:pic>
                  <pic:nvPicPr>
                    <pic:cNvPr descr="../exports/results/bge-small-en-v1.5/google_medgemma-27b-text-it/neighbor_count_sweep/best_k_panels/roc_curve_NEAREST_IMPORTANCE_WEIGHTED_alpha1_k579.png" id="108" name="Picture"/>
                    <pic:cNvPicPr>
                      <a:picLocks noChangeArrowheads="1" noChangeAspect="1"/>
                    </pic:cNvPicPr>
                  </pic:nvPicPr>
                  <pic:blipFill>
                    <a:blip r:embed="rId106"/>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3657600" cy="1975104"/>
            <wp:effectExtent b="0" l="0" r="0" t="0"/>
            <wp:docPr descr="" title="" id="110" name="Picture"/>
            <a:graphic>
              <a:graphicData uri="http://schemas.openxmlformats.org/drawingml/2006/picture">
                <pic:pic>
                  <pic:nvPicPr>
                    <pic:cNvPr descr="../exports/results/bge-small-en-v1.5/google_medgemma-27b-text-it/neighbor_count_sweep/best_k_panels/roc_curve_NEAREST_PLAIN_COSINE_alpha1_k1243.png" id="111" name="Picture"/>
                    <pic:cNvPicPr>
                      <a:picLocks noChangeArrowheads="1" noChangeAspect="1"/>
                    </pic:cNvPicPr>
                  </pic:nvPicPr>
                  <pic:blipFill>
                    <a:blip r:embed="rId109"/>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3657600" cy="1975104"/>
            <wp:effectExtent b="0" l="0" r="0" t="0"/>
            <wp:docPr descr="" title="" id="113" name="Picture"/>
            <a:graphic>
              <a:graphicData uri="http://schemas.openxmlformats.org/drawingml/2006/picture">
                <pic:pic>
                  <pic:nvPicPr>
                    <pic:cNvPr descr="../exports/results/bge-en-icl/google_medgemma-27b-text-it/neighbor_count_sweep/best_k_panels/roc_curve_NEAREST_IMPORTANCE_WEIGHTED_alpha1_k1519.png" id="114" name="Picture"/>
                    <pic:cNvPicPr>
                      <a:picLocks noChangeArrowheads="1" noChangeAspect="1"/>
                    </pic:cNvPicPr>
                  </pic:nvPicPr>
                  <pic:blipFill>
                    <a:blip r:embed="rId112"/>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3657600" cy="1975104"/>
            <wp:effectExtent b="0" l="0" r="0" t="0"/>
            <wp:docPr descr="" title="" id="116" name="Picture"/>
            <a:graphic>
              <a:graphicData uri="http://schemas.openxmlformats.org/drawingml/2006/picture">
                <pic:pic>
                  <pic:nvPicPr>
                    <pic:cNvPr descr="../exports/results/bge-en-icl/google_medgemma-27b-text-it/neighbor_count_sweep/best_k_panels/roc_curve_NEAREST_PLAIN_COSINE_alpha1_k413.png" id="117" name="Picture"/>
                    <pic:cNvPicPr>
                      <a:picLocks noChangeArrowheads="1" noChangeAspect="1"/>
                    </pic:cNvPicPr>
                  </pic:nvPicPr>
                  <pic:blipFill>
                    <a:blip r:embed="rId115"/>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3657600" cy="1975104"/>
            <wp:effectExtent b="0" l="0" r="0" t="0"/>
            <wp:docPr descr="" title="" id="119" name="Picture"/>
            <a:graphic>
              <a:graphicData uri="http://schemas.openxmlformats.org/drawingml/2006/picture">
                <pic:pic>
                  <pic:nvPicPr>
                    <pic:cNvPr descr="../exports/results/Qwen-Qwen3-Embedding-4B/google_medgemma-27b-text-it/neighbor_count_sweep/best_k_panels/roc_curve_NEAREST_IMPORTANCE_WEIGHTED_alpha1_k684.png" id="120" name="Picture"/>
                    <pic:cNvPicPr>
                      <a:picLocks noChangeArrowheads="1" noChangeAspect="1"/>
                    </pic:cNvPicPr>
                  </pic:nvPicPr>
                  <pic:blipFill>
                    <a:blip r:embed="rId118"/>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3657600" cy="1975104"/>
            <wp:effectExtent b="0" l="0" r="0" t="0"/>
            <wp:docPr descr="" title="" id="122" name="Picture"/>
            <a:graphic>
              <a:graphicData uri="http://schemas.openxmlformats.org/drawingml/2006/picture">
                <pic:pic>
                  <pic:nvPicPr>
                    <pic:cNvPr descr="../exports/results/Qwen-Qwen3-Embedding-4B/google_medgemma-27b-text-it/neighbor_count_sweep/best_k_panels/roc_curve_NEAREST_PLAIN_COSINE_alpha1_k493.png" id="123" name="Picture"/>
                    <pic:cNvPicPr>
                      <a:picLocks noChangeArrowheads="1" noChangeAspect="1"/>
                    </pic:cNvPicPr>
                  </pic:nvPicPr>
                  <pic:blipFill>
                    <a:blip r:embed="rId121"/>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Figure S8. ROC curves at each arm’s own test-selected best k, with</w:t>
      </w:r>
      <w:r>
        <w:t xml:space="preserve"> </w:t>
      </w:r>
      <m:oMath>
        <m:r>
          <m:t>α</m:t>
        </m:r>
      </m:oMath>
      <w:r>
        <w:t xml:space="preserve"> </w:t>
      </w:r>
      <w:r>
        <w:t xml:space="preserve">= 1 for nearest retrieval. A–C: the primary encoder, Qwen3-Embedding-8B, under logistic-regression-weighted (A) and plain-cosine (B) nearest retrieval and uniform random retrieval (C). D–I: logistic-regression-weighted and plain-cosine nearest retrieval for bge-small-en-v1.5 (D–E), bge-en-icl (F–G), and Qwen3-Embedding-4B (H–I), each weighted by its own embedded logistic regression. C is the draw whose AUC at that k is closest to the mean of 1,000 draws; its band, and the intervals in Figure S9C, are the bootstrap 95% CI of that one draw over test patients, not the 2.5th–97.5th percentile across draws in Table S7. Legends round to 2 decimals. Best k was chosen on the test patients, so every panel is optimistic. Shaded bands are bootstrap 95% CIs. ROC: receiver operating characteristic.</w:t>
      </w:r>
    </w:p>
    <w:p>
      <w:pPr>
        <w:pStyle w:val="BodyText"/>
      </w:pPr>
      <w:r>
        <w:t xml:space="preserve">A Qwen3-Embedding-8B, logistic-regression-weighted nearest retrieval, k = 295</w:t>
      </w:r>
    </w:p>
    <w:p>
      <w:pPr>
        <w:pStyle w:val="BodyText"/>
      </w:pPr>
      <w:r>
        <w:drawing>
          <wp:inline>
            <wp:extent cx="3657600" cy="1975104"/>
            <wp:effectExtent b="0" l="0" r="0" t="0"/>
            <wp:docPr descr="" title="" id="125" name="Picture"/>
            <a:graphic>
              <a:graphicData uri="http://schemas.openxmlformats.org/drawingml/2006/picture">
                <pic:pic>
                  <pic:nvPicPr>
                    <pic:cNvPr descr="../exports/results/Qwen-Qwen3-Embedding-8B/google_medgemma-27b-text-it/neighbor_count_sweep/best_k_panels/confusion_matrix_NEAREST_IMPORTANCE_WEIGHTED_alpha1_k295.png" id="126" name="Picture"/>
                    <pic:cNvPicPr>
                      <a:picLocks noChangeArrowheads="1" noChangeAspect="1"/>
                    </pic:cNvPicPr>
                  </pic:nvPicPr>
                  <pic:blipFill>
                    <a:blip r:embed="rId124"/>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3657600" cy="1975104"/>
            <wp:effectExtent b="0" l="0" r="0" t="0"/>
            <wp:docPr descr="" title="" id="128" name="Picture"/>
            <a:graphic>
              <a:graphicData uri="http://schemas.openxmlformats.org/drawingml/2006/picture">
                <pic:pic>
                  <pic:nvPicPr>
                    <pic:cNvPr descr="../exports/results/Qwen-Qwen3-Embedding-8B/google_medgemma-27b-text-it/neighbor_count_sweep/best_k_panels/confusion_matrix_NEAREST_PLAIN_COSINE_alpha1_k757.png" id="129" name="Picture"/>
                    <pic:cNvPicPr>
                      <a:picLocks noChangeArrowheads="1" noChangeAspect="1"/>
                    </pic:cNvPicPr>
                  </pic:nvPicPr>
                  <pic:blipFill>
                    <a:blip r:embed="rId127"/>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3657600" cy="1975104"/>
            <wp:effectExtent b="0" l="0" r="0" t="0"/>
            <wp:docPr descr="" title="" id="131" name="Picture"/>
            <a:graphic>
              <a:graphicData uri="http://schemas.openxmlformats.org/drawingml/2006/picture">
                <pic:pic>
                  <pic:nvPicPr>
                    <pic:cNvPr descr="../exports/results/Qwen-Qwen3-Embedding-8B/google_medgemma-27b-text-it/neighbor_count_sweep/best_k_panels/confusion_matrix_RANDOM_UNIFORM_k32720.png" id="132" name="Picture"/>
                    <pic:cNvPicPr>
                      <a:picLocks noChangeArrowheads="1" noChangeAspect="1"/>
                    </pic:cNvPicPr>
                  </pic:nvPicPr>
                  <pic:blipFill>
                    <a:blip r:embed="rId130"/>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3657600" cy="1975104"/>
            <wp:effectExtent b="0" l="0" r="0" t="0"/>
            <wp:docPr descr="" title="" id="134" name="Picture"/>
            <a:graphic>
              <a:graphicData uri="http://schemas.openxmlformats.org/drawingml/2006/picture">
                <pic:pic>
                  <pic:nvPicPr>
                    <pic:cNvPr descr="../exports/results/bge-small-en-v1.5/google_medgemma-27b-text-it/neighbor_count_sweep/best_k_panels/confusion_matrix_NEAREST_IMPORTANCE_WEIGHTED_alpha1_k579.png" id="135" name="Picture"/>
                    <pic:cNvPicPr>
                      <a:picLocks noChangeArrowheads="1" noChangeAspect="1"/>
                    </pic:cNvPicPr>
                  </pic:nvPicPr>
                  <pic:blipFill>
                    <a:blip r:embed="rId133"/>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3657600" cy="1975104"/>
            <wp:effectExtent b="0" l="0" r="0" t="0"/>
            <wp:docPr descr="" title="" id="137" name="Picture"/>
            <a:graphic>
              <a:graphicData uri="http://schemas.openxmlformats.org/drawingml/2006/picture">
                <pic:pic>
                  <pic:nvPicPr>
                    <pic:cNvPr descr="../exports/results/bge-small-en-v1.5/google_medgemma-27b-text-it/neighbor_count_sweep/best_k_panels/confusion_matrix_NEAREST_PLAIN_COSINE_alpha1_k1243.png" id="138" name="Picture"/>
                    <pic:cNvPicPr>
                      <a:picLocks noChangeArrowheads="1" noChangeAspect="1"/>
                    </pic:cNvPicPr>
                  </pic:nvPicPr>
                  <pic:blipFill>
                    <a:blip r:embed="rId136"/>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3657600" cy="1975104"/>
            <wp:effectExtent b="0" l="0" r="0" t="0"/>
            <wp:docPr descr="" title="" id="140" name="Picture"/>
            <a:graphic>
              <a:graphicData uri="http://schemas.openxmlformats.org/drawingml/2006/picture">
                <pic:pic>
                  <pic:nvPicPr>
                    <pic:cNvPr descr="../exports/results/bge-en-icl/google_medgemma-27b-text-it/neighbor_count_sweep/best_k_panels/confusion_matrix_NEAREST_IMPORTANCE_WEIGHTED_alpha1_k1519.png" id="141" name="Picture"/>
                    <pic:cNvPicPr>
                      <a:picLocks noChangeArrowheads="1" noChangeAspect="1"/>
                    </pic:cNvPicPr>
                  </pic:nvPicPr>
                  <pic:blipFill>
                    <a:blip r:embed="rId139"/>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3657600" cy="1975104"/>
            <wp:effectExtent b="0" l="0" r="0" t="0"/>
            <wp:docPr descr="" title="" id="143" name="Picture"/>
            <a:graphic>
              <a:graphicData uri="http://schemas.openxmlformats.org/drawingml/2006/picture">
                <pic:pic>
                  <pic:nvPicPr>
                    <pic:cNvPr descr="../exports/results/bge-en-icl/google_medgemma-27b-text-it/neighbor_count_sweep/best_k_panels/confusion_matrix_NEAREST_PLAIN_COSINE_alpha1_k413.png" id="144" name="Picture"/>
                    <pic:cNvPicPr>
                      <a:picLocks noChangeArrowheads="1" noChangeAspect="1"/>
                    </pic:cNvPicPr>
                  </pic:nvPicPr>
                  <pic:blipFill>
                    <a:blip r:embed="rId142"/>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3657600" cy="1975104"/>
            <wp:effectExtent b="0" l="0" r="0" t="0"/>
            <wp:docPr descr="" title="" id="146" name="Picture"/>
            <a:graphic>
              <a:graphicData uri="http://schemas.openxmlformats.org/drawingml/2006/picture">
                <pic:pic>
                  <pic:nvPicPr>
                    <pic:cNvPr descr="../exports/results/Qwen-Qwen3-Embedding-4B/google_medgemma-27b-text-it/neighbor_count_sweep/best_k_panels/confusion_matrix_NEAREST_IMPORTANCE_WEIGHTED_alpha1_k684.png" id="147" name="Picture"/>
                    <pic:cNvPicPr>
                      <a:picLocks noChangeArrowheads="1" noChangeAspect="1"/>
                    </pic:cNvPicPr>
                  </pic:nvPicPr>
                  <pic:blipFill>
                    <a:blip r:embed="rId145"/>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3657600" cy="1975104"/>
            <wp:effectExtent b="0" l="0" r="0" t="0"/>
            <wp:docPr descr="" title="" id="149" name="Picture"/>
            <a:graphic>
              <a:graphicData uri="http://schemas.openxmlformats.org/drawingml/2006/picture">
                <pic:pic>
                  <pic:nvPicPr>
                    <pic:cNvPr descr="../exports/results/Qwen-Qwen3-Embedding-4B/google_medgemma-27b-text-it/neighbor_count_sweep/best_k_panels/confusion_matrix_NEAREST_PLAIN_COSINE_alpha1_k493.png" id="150" name="Picture"/>
                    <pic:cNvPicPr>
                      <a:picLocks noChangeArrowheads="1" noChangeAspect="1"/>
                    </pic:cNvPicPr>
                  </pic:nvPicPr>
                  <pic:blipFill>
                    <a:blip r:embed="rId148"/>
                    <a:stretch>
                      <a:fillRect/>
                    </a:stretch>
                  </pic:blipFill>
                  <pic:spPr bwMode="auto">
                    <a:xfrm>
                      <a:off x="0" y="0"/>
                      <a:ext cx="3657600" cy="1975104"/>
                    </a:xfrm>
                    <a:prstGeom prst="rect">
                      <a:avLst/>
                    </a:prstGeom>
                    <a:noFill/>
                    <a:ln w="9525">
                      <a:noFill/>
                      <a:headEnd/>
                      <a:tailEnd/>
                    </a:ln>
                  </pic:spPr>
                </pic:pic>
              </a:graphicData>
            </a:graphic>
          </wp:inline>
        </w:drawing>
      </w:r>
    </w:p>
    <w:p>
      <w:pPr>
        <w:pStyle w:val="BodyText"/>
      </w:pPr>
      <w:r>
        <w:t xml:space="preserve">Figure S9. Confusion matrices for the 9 panels of Figure S8 at the same k, at test-selected Youden J thresholds, with bootstrap 95% CIs on every metric at that threshold. These operating points were selected and evaluated in the same patients and are descriptive.</w:t>
      </w:r>
    </w:p>
    <w:bookmarkEnd w:id="151"/>
    <w:bookmarkStart w:id="164" w:name="_d34154ca455b25b1a61c40278996f88c519f5f2"/>
    <w:p>
      <w:pPr>
        <w:pStyle w:val="Heading1"/>
      </w:pPr>
      <w:r>
        <w:t xml:space="preserve">S7 Record Length and Prediction</w:t>
      </w:r>
    </w:p>
    <w:p>
      <w:pPr>
        <w:pStyle w:val="FirstParagraph"/>
      </w:pPr>
      <w:r>
        <w:t xml:space="preserve">We examined record volume descriptively by correlating the outcome with history length, encounter count, and the diagnosis-to-index interval, then assessed neighbor-prediction discrimination across history-length quintiles.</w:t>
      </w:r>
    </w:p>
    <w:p>
      <w:pPr>
        <w:pStyle w:val="BodyText"/>
      </w:pPr>
      <w:r>
        <w:t xml:space="preserve">Using the full recorded history, outcome correlations were small: Spearman ρ=−0.073 (95% CI −0.082 to −0.064) for pre-index history length, −0.064 (95% CI −0.073 to −0.054) for encounter count, and −0.029 (95% CI −0.038 to −0.020) for diagnosis-to-index interval. Prescribing on the day of diagnosis or the next day occurred in 27,906 patients, with outcome frequency 18.4% (95% CI 17.9–18.8), compared with 14,673 patients and 15.9% (95% CI 15.3–16.5) for later prescribing. These weak marginal relationships do not rule out care-process contributions to prediction.</w:t>
      </w:r>
    </w:p>
    <w:p>
      <w:pPr>
        <w:pStyle w:val="BodyText"/>
      </w:pPr>
      <w:r>
        <w:t xml:space="preserve">A Pre-index history length</w:t>
      </w:r>
    </w:p>
    <w:p>
      <w:pPr>
        <w:pStyle w:val="BodyText"/>
      </w:pPr>
      <w:r>
        <w:drawing>
          <wp:inline>
            <wp:extent cx="5212080" cy="2978331"/>
            <wp:effectExtent b="0" l="0" r="0" t="0"/>
            <wp:docPr descr="" title="" id="153" name="Picture"/>
            <a:graphic>
              <a:graphicData uri="http://schemas.openxmlformats.org/drawingml/2006/picture">
                <pic:pic>
                  <pic:nvPicPr>
                    <pic:cNvPr descr="../exports/results/notebook_figures/density_pre_anchor_history_days.png" id="154" name="Picture"/>
                    <pic:cNvPicPr>
                      <a:picLocks noChangeArrowheads="1" noChangeAspect="1"/>
                    </pic:cNvPicPr>
                  </pic:nvPicPr>
                  <pic:blipFill>
                    <a:blip r:embed="rId152"/>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B Diagnosis-to-index interval</w:t>
      </w:r>
    </w:p>
    <w:p>
      <w:pPr>
        <w:pStyle w:val="BodyText"/>
      </w:pPr>
      <w:r>
        <w:drawing>
          <wp:inline>
            <wp:extent cx="5212080" cy="2978331"/>
            <wp:effectExtent b="0" l="0" r="0" t="0"/>
            <wp:docPr descr="" title="" id="156" name="Picture"/>
            <a:graphic>
              <a:graphicData uri="http://schemas.openxmlformats.org/drawingml/2006/picture">
                <pic:pic>
                  <pic:nvPicPr>
                    <pic:cNvPr descr="../exports/results/notebook_figures/density_mdd_to_anchor_days.png" id="157" name="Picture"/>
                    <pic:cNvPicPr>
                      <a:picLocks noChangeArrowheads="1" noChangeAspect="1"/>
                    </pic:cNvPicPr>
                  </pic:nvPicPr>
                  <pic:blipFill>
                    <a:blip r:embed="rId155"/>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C Encounter count</w:t>
      </w:r>
    </w:p>
    <w:p>
      <w:pPr>
        <w:pStyle w:val="BodyText"/>
      </w:pPr>
      <w:r>
        <w:drawing>
          <wp:inline>
            <wp:extent cx="5212080" cy="2978331"/>
            <wp:effectExtent b="0" l="0" r="0" t="0"/>
            <wp:docPr descr="" title="" id="159" name="Picture"/>
            <a:graphic>
              <a:graphicData uri="http://schemas.openxmlformats.org/drawingml/2006/picture">
                <pic:pic>
                  <pic:nvPicPr>
                    <pic:cNvPr descr="../exports/results/notebook_figures/density_num_encounters.png" id="160" name="Picture"/>
                    <pic:cNvPicPr>
                      <a:picLocks noChangeArrowheads="1" noChangeAspect="1"/>
                    </pic:cNvPicPr>
                  </pic:nvPicPr>
                  <pic:blipFill>
                    <a:blip r:embed="rId158"/>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D Outcome frequency by prescription timing</w:t>
      </w:r>
    </w:p>
    <w:p>
      <w:pPr>
        <w:pStyle w:val="BodyText"/>
      </w:pPr>
      <w:r>
        <w:drawing>
          <wp:inline>
            <wp:extent cx="5212080" cy="2978331"/>
            <wp:effectExtent b="0" l="0" r="0" t="0"/>
            <wp:docPr descr="" title="" id="162" name="Picture"/>
            <a:graphic>
              <a:graphicData uri="http://schemas.openxmlformats.org/drawingml/2006/picture">
                <pic:pic>
                  <pic:nvPicPr>
                    <pic:cNvPr descr="../exports/results/review/metric_intervals/trd_rate_by_prescription_timing.png" id="163" name="Picture"/>
                    <pic:cNvPicPr>
                      <a:picLocks noChangeArrowheads="1" noChangeAspect="1"/>
                    </pic:cNvPicPr>
                  </pic:nvPicPr>
                  <pic:blipFill>
                    <a:blip r:embed="rId161"/>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S10. Record length, diagnosis-to-index interval, encounter count, and outcome frequency by prescription timing. A–C show outcome-stratified distributions; axes are truncated as labeled. D compares prescribing within 1 day of diagnosis (the day of diagnosis or the next day) with prescribing 2 or more days later. Bars carry Wilson 95% CIs, and each bar is labeled with its outcome frequency and counts. The dashed line is the cohort outcome frequency, 17.5%, with its 95% CI (17.2–17.9) shaded.</w:t>
      </w:r>
    </w:p>
    <w:p>
      <w:pPr>
        <w:pStyle w:val="BodyText"/>
      </w:pPr>
      <w:r>
        <w:t xml:space="preserve">The held-out test set was divided into quintiles of pre-index history length, and each retrieval arm was scored within each quintile at its own best k from section S6. The best k was chosen on all test patients, so these values are optimistic in the same way.</w:t>
      </w:r>
    </w:p>
    <w:p>
      <w:pPr>
        <w:pStyle w:val="BodyText"/>
      </w:pPr>
      <w:r>
        <w:t xml:space="preserve">Table S8. Neighbor-prediction ROC AUC by quintile of pre-index history length (embedded representation, held-out test set,</w:t>
      </w:r>
      <w:r>
        <w:t xml:space="preserve"> </w:t>
      </w:r>
      <m:oMath>
        <m:r>
          <m:t>α</m:t>
        </m:r>
      </m:oMath>
      <w:r>
        <w:t xml:space="preserve"> </w:t>
      </w:r>
      <w:r>
        <w:t xml:space="preserve">= 1), with bootstrap 95% CIs within each quintile. Days are the quintile’s bounds of pre-index history. Weighted: logistic-regression-weighted cosine; plain: plain cosine. Random retrieval uses uniform weights and the draw whose AUC at its best k is closest to the mean of 1,000 draws.</w:t>
      </w:r>
    </w:p>
    <w:tbl>
      <w:tblPr>
        <w:tblStyle w:val="Table"/>
        <w:tblW w:type="pct" w:w="5000"/>
        <w:tblLayout w:type="fixed"/>
        <w:tblLook w:firstRow="1" w:lastRow="0" w:firstColumn="0" w:lastColumn="0" w:noHBand="0" w:noVBand="0" w:val="0020"/>
      </w:tblPr>
      <w:tblGrid>
        <w:gridCol w:w="1066"/>
        <w:gridCol w:w="685"/>
        <w:gridCol w:w="685"/>
        <w:gridCol w:w="1827"/>
        <w:gridCol w:w="1827"/>
        <w:gridCol w:w="1827"/>
      </w:tblGrid>
      <w:tr>
        <w:trPr>
          <w:tblHeader w:val="on"/>
        </w:trPr>
        <w:tc>
          <w:tcPr/>
          <w:p>
            <w:pPr>
              <w:pStyle w:val="Compact"/>
            </w:pPr>
            <w:r>
              <w:rPr>
                <w:b/>
                <w:bCs/>
              </w:rPr>
              <w:t xml:space="preserve">Days</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Weighted, k = 295</w:t>
            </w:r>
          </w:p>
        </w:tc>
        <w:tc>
          <w:tcPr/>
          <w:p>
            <w:pPr>
              <w:pStyle w:val="Compact"/>
            </w:pPr>
            <w:r>
              <w:rPr>
                <w:b/>
                <w:bCs/>
              </w:rPr>
              <w:t xml:space="preserve">Plain, k = 757</w:t>
            </w:r>
          </w:p>
        </w:tc>
        <w:tc>
          <w:tcPr/>
          <w:p>
            <w:pPr>
              <w:pStyle w:val="Compact"/>
            </w:pPr>
            <w:r>
              <w:rPr>
                <w:b/>
                <w:bCs/>
              </w:rPr>
              <w:t xml:space="preserve">Random, k = 32,720</w:t>
            </w:r>
          </w:p>
        </w:tc>
      </w:tr>
      <w:tr>
        <w:tc>
          <w:tcPr/>
          <w:p>
            <w:pPr>
              <w:pStyle w:val="Compact"/>
            </w:pPr>
            <w:r>
              <w:t xml:space="preserve">731–1,110</w:t>
            </w:r>
          </w:p>
        </w:tc>
        <w:tc>
          <w:tcPr/>
          <w:p>
            <w:pPr>
              <w:pStyle w:val="Compact"/>
              <w:jc w:val="right"/>
            </w:pPr>
            <w:r>
              <w:t xml:space="preserve">1,706</w:t>
            </w:r>
          </w:p>
        </w:tc>
        <w:tc>
          <w:tcPr/>
          <w:p>
            <w:pPr>
              <w:pStyle w:val="Compact"/>
              <w:jc w:val="right"/>
            </w:pPr>
            <w:r>
              <w:t xml:space="preserve">372</w:t>
            </w:r>
          </w:p>
        </w:tc>
        <w:tc>
          <w:tcPr/>
          <w:p>
            <w:pPr>
              <w:pStyle w:val="Compact"/>
            </w:pPr>
            <w:r>
              <w:t xml:space="preserve">0.625 (0.592–0.657)</w:t>
            </w:r>
          </w:p>
        </w:tc>
        <w:tc>
          <w:tcPr/>
          <w:p>
            <w:pPr>
              <w:pStyle w:val="Compact"/>
            </w:pPr>
            <w:r>
              <w:t xml:space="preserve">0.619 (0.585–0.651)</w:t>
            </w:r>
          </w:p>
        </w:tc>
        <w:tc>
          <w:tcPr/>
          <w:p>
            <w:pPr>
              <w:pStyle w:val="Compact"/>
            </w:pPr>
            <w:r>
              <w:t xml:space="preserve">0.479 (0.447–0.513)</w:t>
            </w:r>
          </w:p>
        </w:tc>
      </w:tr>
      <w:tr>
        <w:tc>
          <w:tcPr/>
          <w:p>
            <w:pPr>
              <w:pStyle w:val="Compact"/>
            </w:pPr>
            <w:r>
              <w:t xml:space="preserve">1,111–1,554</w:t>
            </w:r>
          </w:p>
        </w:tc>
        <w:tc>
          <w:tcPr/>
          <w:p>
            <w:pPr>
              <w:pStyle w:val="Compact"/>
              <w:jc w:val="right"/>
            </w:pPr>
            <w:r>
              <w:t xml:space="preserve">1,704</w:t>
            </w:r>
          </w:p>
        </w:tc>
        <w:tc>
          <w:tcPr/>
          <w:p>
            <w:pPr>
              <w:pStyle w:val="Compact"/>
              <w:jc w:val="right"/>
            </w:pPr>
            <w:r>
              <w:t xml:space="preserve">317</w:t>
            </w:r>
          </w:p>
        </w:tc>
        <w:tc>
          <w:tcPr/>
          <w:p>
            <w:pPr>
              <w:pStyle w:val="Compact"/>
            </w:pPr>
            <w:r>
              <w:t xml:space="preserve">0.624 (0.590–0.658)</w:t>
            </w:r>
          </w:p>
        </w:tc>
        <w:tc>
          <w:tcPr/>
          <w:p>
            <w:pPr>
              <w:pStyle w:val="Compact"/>
            </w:pPr>
            <w:r>
              <w:t xml:space="preserve">0.619 (0.584–0.652)</w:t>
            </w:r>
          </w:p>
        </w:tc>
        <w:tc>
          <w:tcPr/>
          <w:p>
            <w:pPr>
              <w:pStyle w:val="Compact"/>
            </w:pPr>
            <w:r>
              <w:t xml:space="preserve">0.526 (0.489–0.561)</w:t>
            </w:r>
          </w:p>
        </w:tc>
      </w:tr>
      <w:tr>
        <w:tc>
          <w:tcPr/>
          <w:p>
            <w:pPr>
              <w:pStyle w:val="Compact"/>
            </w:pPr>
            <w:r>
              <w:t xml:space="preserve">1,555–2,066</w:t>
            </w:r>
          </w:p>
        </w:tc>
        <w:tc>
          <w:tcPr/>
          <w:p>
            <w:pPr>
              <w:pStyle w:val="Compact"/>
              <w:jc w:val="right"/>
            </w:pPr>
            <w:r>
              <w:t xml:space="preserve">1,701</w:t>
            </w:r>
          </w:p>
        </w:tc>
        <w:tc>
          <w:tcPr/>
          <w:p>
            <w:pPr>
              <w:pStyle w:val="Compact"/>
              <w:jc w:val="right"/>
            </w:pPr>
            <w:r>
              <w:t xml:space="preserve">290</w:t>
            </w:r>
          </w:p>
        </w:tc>
        <w:tc>
          <w:tcPr/>
          <w:p>
            <w:pPr>
              <w:pStyle w:val="Compact"/>
            </w:pPr>
            <w:r>
              <w:t xml:space="preserve">0.600 (0.564–0.636)</w:t>
            </w:r>
          </w:p>
        </w:tc>
        <w:tc>
          <w:tcPr/>
          <w:p>
            <w:pPr>
              <w:pStyle w:val="Compact"/>
            </w:pPr>
            <w:r>
              <w:t xml:space="preserve">0.608 (0.572–0.643)</w:t>
            </w:r>
          </w:p>
        </w:tc>
        <w:tc>
          <w:tcPr/>
          <w:p>
            <w:pPr>
              <w:pStyle w:val="Compact"/>
            </w:pPr>
            <w:r>
              <w:t xml:space="preserve">0.531 (0.492–0.564)</w:t>
            </w:r>
          </w:p>
        </w:tc>
      </w:tr>
      <w:tr>
        <w:tc>
          <w:tcPr/>
          <w:p>
            <w:pPr>
              <w:pStyle w:val="Compact"/>
            </w:pPr>
            <w:r>
              <w:t xml:space="preserve">2,067–2,733</w:t>
            </w:r>
          </w:p>
        </w:tc>
        <w:tc>
          <w:tcPr/>
          <w:p>
            <w:pPr>
              <w:pStyle w:val="Compact"/>
              <w:jc w:val="right"/>
            </w:pPr>
            <w:r>
              <w:t xml:space="preserve">1,704</w:t>
            </w:r>
          </w:p>
        </w:tc>
        <w:tc>
          <w:tcPr/>
          <w:p>
            <w:pPr>
              <w:pStyle w:val="Compact"/>
              <w:jc w:val="right"/>
            </w:pPr>
            <w:r>
              <w:t xml:space="preserve">282</w:t>
            </w:r>
          </w:p>
        </w:tc>
        <w:tc>
          <w:tcPr/>
          <w:p>
            <w:pPr>
              <w:pStyle w:val="Compact"/>
            </w:pPr>
            <w:r>
              <w:t xml:space="preserve">0.633 (0.598–0.669)</w:t>
            </w:r>
          </w:p>
        </w:tc>
        <w:tc>
          <w:tcPr/>
          <w:p>
            <w:pPr>
              <w:pStyle w:val="Compact"/>
            </w:pPr>
            <w:r>
              <w:t xml:space="preserve">0.626 (0.592–0.663)</w:t>
            </w:r>
          </w:p>
        </w:tc>
        <w:tc>
          <w:tcPr/>
          <w:p>
            <w:pPr>
              <w:pStyle w:val="Compact"/>
            </w:pPr>
            <w:r>
              <w:t xml:space="preserve">0.487 (0.449–0.523)</w:t>
            </w:r>
          </w:p>
        </w:tc>
      </w:tr>
      <w:tr>
        <w:tc>
          <w:tcPr/>
          <w:p>
            <w:pPr>
              <w:pStyle w:val="Compact"/>
            </w:pPr>
            <w:r>
              <w:t xml:space="preserve">2,734–5,288</w:t>
            </w:r>
          </w:p>
        </w:tc>
        <w:tc>
          <w:tcPr/>
          <w:p>
            <w:pPr>
              <w:pStyle w:val="Compact"/>
              <w:jc w:val="right"/>
            </w:pPr>
            <w:r>
              <w:t xml:space="preserve">1,701</w:t>
            </w:r>
          </w:p>
        </w:tc>
        <w:tc>
          <w:tcPr/>
          <w:p>
            <w:pPr>
              <w:pStyle w:val="Compact"/>
              <w:jc w:val="right"/>
            </w:pPr>
            <w:r>
              <w:t xml:space="preserve">230</w:t>
            </w:r>
          </w:p>
        </w:tc>
        <w:tc>
          <w:tcPr/>
          <w:p>
            <w:pPr>
              <w:pStyle w:val="Compact"/>
            </w:pPr>
            <w:r>
              <w:t xml:space="preserve">0.619 (0.580–0.655)</w:t>
            </w:r>
          </w:p>
        </w:tc>
        <w:tc>
          <w:tcPr/>
          <w:p>
            <w:pPr>
              <w:pStyle w:val="Compact"/>
            </w:pPr>
            <w:r>
              <w:t xml:space="preserve">0.598 (0.561–0.636)</w:t>
            </w:r>
          </w:p>
        </w:tc>
        <w:tc>
          <w:tcPr/>
          <w:p>
            <w:pPr>
              <w:pStyle w:val="Compact"/>
            </w:pPr>
            <w:r>
              <w:t xml:space="preserve">0.479 (0.437–0.519)</w:t>
            </w:r>
          </w:p>
        </w:tc>
      </w:tr>
    </w:tbl>
    <w:p>
      <w:pPr>
        <w:pStyle w:val="FirstParagraph"/>
      </w:pPr>
      <w:r>
        <w:t xml:space="preserve">AUC ranged from 0.600 to 0.633 for logistic-regression-weighted and 0.598 to 0.626 for plain cosine retrieval, without a monotonic trend, and every quintile’s interval overlapped the others. Random retrieval stayed near 0.5, and its interval included 0.5 in every quintile. This does not establish independence from record volume; differing case mix and imprecision within strata limit interpretation.</w:t>
      </w:r>
    </w:p>
    <w:p>
      <w:pPr>
        <w:pStyle w:val="BodyText"/>
      </w:pPr>
      <w:r>
        <w:t xml:space="preserve">The stratification covers neighbor prediction only, not the trained classifiers. Each quintile contained about 1,700 patients.</w:t>
      </w:r>
    </w:p>
    <w:bookmarkEnd w:id="164"/>
    <w:bookmarkStart w:id="165" w:name="_9cf754b10130797989fc0acedb76c13f4235cda"/>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Characteristic</w:t>
            </w:r>
          </w:p>
        </w:tc>
        <w:tc>
          <w:tcPr/>
          <w:p>
            <w:pPr>
              <w:pStyle w:val="Compact"/>
              <w:jc w:val="left"/>
            </w:pPr>
            <w:r>
              <w:rPr>
                <w:b/>
                <w:bCs/>
              </w:rPr>
              <w:t xml:space="preserve">Training</w:t>
            </w:r>
          </w:p>
        </w:tc>
        <w:tc>
          <w:tcPr/>
          <w:p>
            <w:pPr>
              <w:pStyle w:val="Compact"/>
              <w:jc w:val="left"/>
            </w:pPr>
            <w:r>
              <w:rPr>
                <w:b/>
                <w:bCs/>
              </w:rPr>
              <w:t xml:space="preserve">Held-out</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55 (38-70)</w:t>
            </w:r>
          </w:p>
        </w:tc>
        <w:tc>
          <w:tcPr/>
          <w:p>
            <w:pPr>
              <w:pStyle w:val="Compact"/>
              <w:jc w:val="left"/>
            </w:pPr>
            <w:r>
              <w:t xml:space="preserve">-0.014</w:t>
            </w:r>
          </w:p>
        </w:tc>
      </w:tr>
      <w:tr>
        <w:tc>
          <w:tcPr/>
          <w:p>
            <w:pPr>
              <w:pStyle w:val="Compact"/>
              <w:jc w:val="left"/>
            </w:pPr>
            <w:r>
              <w:t xml:space="preserve">Age band: 18-29</w:t>
            </w:r>
          </w:p>
        </w:tc>
        <w:tc>
          <w:tcPr/>
          <w:p>
            <w:pPr>
              <w:pStyle w:val="Compact"/>
              <w:jc w:val="left"/>
            </w:pPr>
            <w:r>
              <w:t xml:space="preserve">4,428 (13.0%)</w:t>
            </w:r>
          </w:p>
        </w:tc>
        <w:tc>
          <w:tcPr/>
          <w:p>
            <w:pPr>
              <w:pStyle w:val="Compact"/>
              <w:jc w:val="left"/>
            </w:pPr>
            <w:r>
              <w:t xml:space="preserve">1,085 (12.7%)</w:t>
            </w:r>
          </w:p>
        </w:tc>
        <w:tc>
          <w:tcPr/>
          <w:p>
            <w:pPr>
              <w:pStyle w:val="Compact"/>
              <w:jc w:val="left"/>
            </w:pPr>
            <w:r>
              <w:t xml:space="preserve">+0.008</w:t>
            </w:r>
          </w:p>
        </w:tc>
      </w:tr>
      <w:tr>
        <w:tc>
          <w:tcPr/>
          <w:p>
            <w:pPr>
              <w:pStyle w:val="Compact"/>
              <w:jc w:val="left"/>
            </w:pPr>
            <w:r>
              <w:t xml:space="preserve">Age band: 30-44</w:t>
            </w:r>
          </w:p>
        </w:tc>
        <w:tc>
          <w:tcPr/>
          <w:p>
            <w:pPr>
              <w:pStyle w:val="Compact"/>
              <w:jc w:val="left"/>
            </w:pPr>
            <w:r>
              <w:t xml:space="preserve">7,198 (21.1%)</w:t>
            </w:r>
          </w:p>
        </w:tc>
        <w:tc>
          <w:tcPr/>
          <w:p>
            <w:pPr>
              <w:pStyle w:val="Compact"/>
              <w:jc w:val="left"/>
            </w:pPr>
            <w:r>
              <w:t xml:space="preserve">1,827 (21.5%)</w:t>
            </w:r>
          </w:p>
        </w:tc>
        <w:tc>
          <w:tcPr/>
          <w:p>
            <w:pPr>
              <w:pStyle w:val="Compact"/>
              <w:jc w:val="left"/>
            </w:pPr>
            <w:r>
              <w:t xml:space="preserve">-0.008</w:t>
            </w:r>
          </w:p>
        </w:tc>
      </w:tr>
      <w:tr>
        <w:tc>
          <w:tcPr/>
          <w:p>
            <w:pPr>
              <w:pStyle w:val="Compact"/>
              <w:jc w:val="left"/>
            </w:pPr>
            <w:r>
              <w:t xml:space="preserve">Age band: 45-64</w:t>
            </w:r>
          </w:p>
        </w:tc>
        <w:tc>
          <w:tcPr/>
          <w:p>
            <w:pPr>
              <w:pStyle w:val="Compact"/>
              <w:jc w:val="left"/>
            </w:pPr>
            <w:r>
              <w:t xml:space="preserve">10,632 (31.2%)</w:t>
            </w:r>
          </w:p>
        </w:tc>
        <w:tc>
          <w:tcPr/>
          <w:p>
            <w:pPr>
              <w:pStyle w:val="Compact"/>
              <w:jc w:val="left"/>
            </w:pPr>
            <w:r>
              <w:t xml:space="preserve">2,636 (31.0%)</w:t>
            </w:r>
          </w:p>
        </w:tc>
        <w:tc>
          <w:tcPr/>
          <w:p>
            <w:pPr>
              <w:pStyle w:val="Compact"/>
              <w:jc w:val="left"/>
            </w:pPr>
            <w:r>
              <w:t xml:space="preserve">+0.006</w:t>
            </w:r>
          </w:p>
        </w:tc>
      </w:tr>
      <w:tr>
        <w:tc>
          <w:tcPr/>
          <w:p>
            <w:pPr>
              <w:pStyle w:val="Compact"/>
              <w:jc w:val="left"/>
            </w:pPr>
            <w:r>
              <w:t xml:space="preserve">Age band: 65+</w:t>
            </w:r>
          </w:p>
        </w:tc>
        <w:tc>
          <w:tcPr/>
          <w:p>
            <w:pPr>
              <w:pStyle w:val="Compact"/>
              <w:jc w:val="left"/>
            </w:pPr>
            <w:r>
              <w:t xml:space="preserve">11,805 (34.7%)</w:t>
            </w:r>
          </w:p>
        </w:tc>
        <w:tc>
          <w:tcPr/>
          <w:p>
            <w:pPr>
              <w:pStyle w:val="Compact"/>
              <w:jc w:val="left"/>
            </w:pPr>
            <w:r>
              <w:t xml:space="preserve">2,968 (34.9%)</w:t>
            </w:r>
          </w:p>
        </w:tc>
        <w:tc>
          <w:tcPr/>
          <w:p>
            <w:pPr>
              <w:pStyle w:val="Compact"/>
              <w:jc w:val="left"/>
            </w:pPr>
            <w:r>
              <w:t xml:space="preserve">-0.004</w:t>
            </w:r>
          </w:p>
        </w:tc>
      </w:tr>
      <w:tr>
        <w:tc>
          <w:tcPr/>
          <w:p>
            <w:pPr>
              <w:pStyle w:val="Compact"/>
              <w:jc w:val="left"/>
            </w:pPr>
            <w:r>
              <w:t xml:space="preserve">Sex: Female</w:t>
            </w:r>
          </w:p>
        </w:tc>
        <w:tc>
          <w:tcPr/>
          <w:p>
            <w:pPr>
              <w:pStyle w:val="Compact"/>
              <w:jc w:val="left"/>
            </w:pPr>
            <w:r>
              <w:t xml:space="preserve">24,682 (72.5%)</w:t>
            </w:r>
          </w:p>
        </w:tc>
        <w:tc>
          <w:tcPr/>
          <w:p>
            <w:pPr>
              <w:pStyle w:val="Compact"/>
              <w:jc w:val="left"/>
            </w:pPr>
            <w:r>
              <w:t xml:space="preserve">6,168 (72.4%)</w:t>
            </w:r>
          </w:p>
        </w:tc>
        <w:tc>
          <w:tcPr/>
          <w:p>
            <w:pPr>
              <w:pStyle w:val="Compact"/>
              <w:jc w:val="left"/>
            </w:pPr>
            <w:r>
              <w:t xml:space="preserve">+0.001</w:t>
            </w:r>
          </w:p>
        </w:tc>
      </w:tr>
      <w:tr>
        <w:tc>
          <w:tcPr/>
          <w:p>
            <w:pPr>
              <w:pStyle w:val="Compact"/>
              <w:jc w:val="left"/>
            </w:pPr>
            <w:r>
              <w:t xml:space="preserve">Race: White/Caucasian</w:t>
            </w:r>
          </w:p>
        </w:tc>
        <w:tc>
          <w:tcPr/>
          <w:p>
            <w:pPr>
              <w:pStyle w:val="Compact"/>
              <w:jc w:val="left"/>
            </w:pPr>
            <w:r>
              <w:t xml:space="preserve">27,244 (80.0%)</w:t>
            </w:r>
          </w:p>
        </w:tc>
        <w:tc>
          <w:tcPr/>
          <w:p>
            <w:pPr>
              <w:pStyle w:val="Compact"/>
              <w:jc w:val="left"/>
            </w:pPr>
            <w:r>
              <w:t xml:space="preserve">6,835 (80.3%)</w:t>
            </w:r>
          </w:p>
        </w:tc>
        <w:tc>
          <w:tcPr/>
          <w:p>
            <w:pPr>
              <w:pStyle w:val="Compact"/>
              <w:jc w:val="left"/>
            </w:pPr>
            <w:r>
              <w:t xml:space="preserve">-0.007</w:t>
            </w:r>
          </w:p>
        </w:tc>
      </w:tr>
      <w:tr>
        <w:tc>
          <w:tcPr/>
          <w:p>
            <w:pPr>
              <w:pStyle w:val="Compact"/>
              <w:jc w:val="left"/>
            </w:pPr>
            <w:r>
              <w:t xml:space="preserve">Race: Black/African American</w:t>
            </w:r>
          </w:p>
        </w:tc>
        <w:tc>
          <w:tcPr/>
          <w:p>
            <w:pPr>
              <w:pStyle w:val="Compact"/>
              <w:jc w:val="left"/>
            </w:pPr>
            <w:r>
              <w:t xml:space="preserve">1,894 (5.6%)</w:t>
            </w:r>
          </w:p>
        </w:tc>
        <w:tc>
          <w:tcPr/>
          <w:p>
            <w:pPr>
              <w:pStyle w:val="Compact"/>
              <w:jc w:val="left"/>
            </w:pPr>
            <w:r>
              <w:t xml:space="preserve">474 (5.6%)</w:t>
            </w:r>
          </w:p>
        </w:tc>
        <w:tc>
          <w:tcPr/>
          <w:p>
            <w:pPr>
              <w:pStyle w:val="Compact"/>
              <w:jc w:val="left"/>
            </w:pPr>
            <w:r>
              <w:t xml:space="preserve">-0.000</w:t>
            </w:r>
          </w:p>
        </w:tc>
      </w:tr>
      <w:tr>
        <w:tc>
          <w:tcPr/>
          <w:p>
            <w:pPr>
              <w:pStyle w:val="Compact"/>
              <w:jc w:val="left"/>
            </w:pPr>
            <w:r>
              <w:t xml:space="preserve">Race: Am. Indian/Alaska Native</w:t>
            </w:r>
          </w:p>
        </w:tc>
        <w:tc>
          <w:tcPr/>
          <w:p>
            <w:pPr>
              <w:pStyle w:val="Compact"/>
              <w:jc w:val="left"/>
            </w:pPr>
            <w:r>
              <w:t xml:space="preserve">1,637 (4.8%)</w:t>
            </w:r>
          </w:p>
        </w:tc>
        <w:tc>
          <w:tcPr/>
          <w:p>
            <w:pPr>
              <w:pStyle w:val="Compact"/>
              <w:jc w:val="left"/>
            </w:pPr>
            <w:r>
              <w:t xml:space="preserve">396 (4.7%)</w:t>
            </w:r>
          </w:p>
        </w:tc>
        <w:tc>
          <w:tcPr/>
          <w:p>
            <w:pPr>
              <w:pStyle w:val="Compact"/>
              <w:jc w:val="left"/>
            </w:pPr>
            <w:r>
              <w:t xml:space="preserve">+0.007</w:t>
            </w:r>
          </w:p>
        </w:tc>
      </w:tr>
      <w:tr>
        <w:tc>
          <w:tcPr/>
          <w:p>
            <w:pPr>
              <w:pStyle w:val="Compact"/>
              <w:jc w:val="left"/>
            </w:pPr>
            <w:r>
              <w:t xml:space="preserve">Race: Missing</w:t>
            </w:r>
          </w:p>
        </w:tc>
        <w:tc>
          <w:tcPr/>
          <w:p>
            <w:pPr>
              <w:pStyle w:val="Compact"/>
              <w:jc w:val="left"/>
            </w:pPr>
            <w:r>
              <w:t xml:space="preserve">247 (0.7%)</w:t>
            </w:r>
          </w:p>
        </w:tc>
        <w:tc>
          <w:tcPr/>
          <w:p>
            <w:pPr>
              <w:pStyle w:val="Compact"/>
              <w:jc w:val="left"/>
            </w:pPr>
            <w:r>
              <w:t xml:space="preserve">50 (0.6%)</w:t>
            </w:r>
          </w:p>
        </w:tc>
        <w:tc>
          <w:tcPr/>
          <w:p>
            <w:pPr>
              <w:pStyle w:val="Compact"/>
              <w:jc w:val="left"/>
            </w:pPr>
            <w:r>
              <w:t xml:space="preserve">+0.017</w:t>
            </w:r>
          </w:p>
        </w:tc>
      </w:tr>
      <w:tr>
        <w:tc>
          <w:tcPr/>
          <w:p>
            <w:pPr>
              <w:pStyle w:val="Compact"/>
              <w:jc w:val="left"/>
            </w:pPr>
            <w:r>
              <w:t xml:space="preserve">Language: English only</w:t>
            </w:r>
          </w:p>
        </w:tc>
        <w:tc>
          <w:tcPr/>
          <w:p>
            <w:pPr>
              <w:pStyle w:val="Compact"/>
              <w:jc w:val="left"/>
            </w:pPr>
            <w:r>
              <w:t xml:space="preserve">33,698 (98.9%)</w:t>
            </w:r>
          </w:p>
        </w:tc>
        <w:tc>
          <w:tcPr/>
          <w:p>
            <w:pPr>
              <w:pStyle w:val="Compact"/>
              <w:jc w:val="left"/>
            </w:pPr>
            <w:r>
              <w:t xml:space="preserve">8,425 (98.9%)</w:t>
            </w:r>
          </w:p>
        </w:tc>
        <w:tc>
          <w:tcPr/>
          <w:p>
            <w:pPr>
              <w:pStyle w:val="Compact"/>
              <w:jc w:val="left"/>
            </w:pPr>
            <w:r>
              <w:t xml:space="preserve">-0.000</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r>
      <w:tr>
        <w:tc>
          <w:tcPr/>
          <w:p>
            <w:pPr>
              <w:pStyle w:val="Compact"/>
              <w:jc w:val="left"/>
            </w:pPr>
            <w:r>
              <w:t xml:space="preserve">MDD recurrence: Recurrent</w:t>
            </w:r>
          </w:p>
        </w:tc>
        <w:tc>
          <w:tcPr/>
          <w:p>
            <w:pPr>
              <w:pStyle w:val="Compact"/>
              <w:jc w:val="left"/>
            </w:pPr>
            <w:r>
              <w:t xml:space="preserve">9,036 (26.5%)</w:t>
            </w:r>
          </w:p>
        </w:tc>
        <w:tc>
          <w:tcPr/>
          <w:p>
            <w:pPr>
              <w:pStyle w:val="Compact"/>
              <w:jc w:val="left"/>
            </w:pPr>
            <w:r>
              <w:t xml:space="preserve">2,177 (25.6%)</w:t>
            </w:r>
          </w:p>
        </w:tc>
        <w:tc>
          <w:tcPr/>
          <w:p>
            <w:pPr>
              <w:pStyle w:val="Compact"/>
              <w:jc w:val="left"/>
            </w:pPr>
            <w:r>
              <w:t xml:space="preserve">+0.022</w:t>
            </w:r>
          </w:p>
        </w:tc>
      </w:tr>
      <w:tr>
        <w:tc>
          <w:tcPr/>
          <w:p>
            <w:pPr>
              <w:pStyle w:val="Compact"/>
              <w:jc w:val="left"/>
            </w:pPr>
            <w:r>
              <w:t xml:space="preserve">MDD severity: Severe</w:t>
            </w:r>
          </w:p>
        </w:tc>
        <w:tc>
          <w:tcPr/>
          <w:p>
            <w:pPr>
              <w:pStyle w:val="Compact"/>
              <w:jc w:val="left"/>
            </w:pPr>
            <w:r>
              <w:t xml:space="preserve">1,818 (5.3%)</w:t>
            </w:r>
          </w:p>
        </w:tc>
        <w:tc>
          <w:tcPr/>
          <w:p>
            <w:pPr>
              <w:pStyle w:val="Compact"/>
              <w:jc w:val="left"/>
            </w:pPr>
            <w:r>
              <w:t xml:space="preserve">468 (5.5%)</w:t>
            </w:r>
          </w:p>
        </w:tc>
        <w:tc>
          <w:tcPr/>
          <w:p>
            <w:pPr>
              <w:pStyle w:val="Compact"/>
              <w:jc w:val="left"/>
            </w:pPr>
            <w:r>
              <w:t xml:space="preserve">-0.007</w:t>
            </w:r>
          </w:p>
        </w:tc>
      </w:tr>
      <w:tr>
        <w:tc>
          <w:tcPr/>
          <w:p>
            <w:pPr>
              <w:pStyle w:val="Compact"/>
              <w:jc w:val="left"/>
            </w:pPr>
            <w:r>
              <w:t xml:space="preserve">MDD severity: Moderate</w:t>
            </w:r>
          </w:p>
        </w:tc>
        <w:tc>
          <w:tcPr/>
          <w:p>
            <w:pPr>
              <w:pStyle w:val="Compact"/>
              <w:jc w:val="left"/>
            </w:pPr>
            <w:r>
              <w:t xml:space="preserve">5,807 (17.0%)</w:t>
            </w:r>
          </w:p>
        </w:tc>
        <w:tc>
          <w:tcPr/>
          <w:p>
            <w:pPr>
              <w:pStyle w:val="Compact"/>
              <w:jc w:val="left"/>
            </w:pPr>
            <w:r>
              <w:t xml:space="preserve">1,426 (16.7%)</w:t>
            </w:r>
          </w:p>
        </w:tc>
        <w:tc>
          <w:tcPr/>
          <w:p>
            <w:pPr>
              <w:pStyle w:val="Compact"/>
              <w:jc w:val="left"/>
            </w:pPr>
            <w:r>
              <w:t xml:space="preserve">+0.008</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1,392 (4.1%)</w:t>
            </w:r>
          </w:p>
        </w:tc>
        <w:tc>
          <w:tcPr/>
          <w:p>
            <w:pPr>
              <w:pStyle w:val="Compact"/>
              <w:jc w:val="left"/>
            </w:pPr>
            <w:r>
              <w:t xml:space="preserve">361 (4.2%)</w:t>
            </w:r>
          </w:p>
        </w:tc>
        <w:tc>
          <w:tcPr/>
          <w:p>
            <w:pPr>
              <w:pStyle w:val="Compact"/>
              <w:jc w:val="left"/>
            </w:pPr>
            <w:r>
              <w:t xml:space="preserve">-0.008</w:t>
            </w:r>
          </w:p>
        </w:tc>
      </w:tr>
      <w:tr>
        <w:tc>
          <w:tcPr/>
          <w:p>
            <w:pPr>
              <w:pStyle w:val="Compact"/>
              <w:jc w:val="left"/>
            </w:pPr>
            <w:r>
              <w:t xml:space="preserve">Anxiety disorder</w:t>
            </w:r>
          </w:p>
        </w:tc>
        <w:tc>
          <w:tcPr/>
          <w:p>
            <w:pPr>
              <w:pStyle w:val="Compact"/>
              <w:jc w:val="left"/>
            </w:pPr>
            <w:r>
              <w:t xml:space="preserve">17,975 (52.8%)</w:t>
            </w:r>
          </w:p>
        </w:tc>
        <w:tc>
          <w:tcPr/>
          <w:p>
            <w:pPr>
              <w:pStyle w:val="Compact"/>
              <w:jc w:val="left"/>
            </w:pPr>
            <w:r>
              <w:t xml:space="preserve">4,426 (52.0%)</w:t>
            </w:r>
          </w:p>
        </w:tc>
        <w:tc>
          <w:tcPr/>
          <w:p>
            <w:pPr>
              <w:pStyle w:val="Compact"/>
              <w:jc w:val="left"/>
            </w:pPr>
            <w:r>
              <w:t xml:space="preserve">+0.016</w:t>
            </w:r>
          </w:p>
        </w:tc>
      </w:tr>
      <w:tr>
        <w:tc>
          <w:tcPr/>
          <w:p>
            <w:pPr>
              <w:pStyle w:val="Compact"/>
              <w:jc w:val="left"/>
            </w:pPr>
            <w:r>
              <w:t xml:space="preserve">Substance use disorder (any)</w:t>
            </w:r>
          </w:p>
        </w:tc>
        <w:tc>
          <w:tcPr/>
          <w:p>
            <w:pPr>
              <w:pStyle w:val="Compact"/>
              <w:jc w:val="left"/>
            </w:pPr>
            <w:r>
              <w:t xml:space="preserve">7,472 (21.9%)</w:t>
            </w:r>
          </w:p>
        </w:tc>
        <w:tc>
          <w:tcPr/>
          <w:p>
            <w:pPr>
              <w:pStyle w:val="Compact"/>
              <w:jc w:val="left"/>
            </w:pPr>
            <w:r>
              <w:t xml:space="preserve">1,793 (21.1%)</w:t>
            </w:r>
          </w:p>
        </w:tc>
        <w:tc>
          <w:tcPr/>
          <w:p>
            <w:pPr>
              <w:pStyle w:val="Compact"/>
              <w:jc w:val="left"/>
            </w:pPr>
            <w:r>
              <w:t xml:space="preserve">+0.021</w:t>
            </w:r>
          </w:p>
        </w:tc>
      </w:tr>
      <w:tr>
        <w:tc>
          <w:tcPr/>
          <w:p>
            <w:pPr>
              <w:pStyle w:val="Compact"/>
              <w:jc w:val="left"/>
            </w:pPr>
            <w:r>
              <w:t xml:space="preserve">Insomnia</w:t>
            </w:r>
          </w:p>
        </w:tc>
        <w:tc>
          <w:tcPr/>
          <w:p>
            <w:pPr>
              <w:pStyle w:val="Compact"/>
              <w:jc w:val="left"/>
            </w:pPr>
            <w:r>
              <w:t xml:space="preserve">7,452 (21.9%)</w:t>
            </w:r>
          </w:p>
        </w:tc>
        <w:tc>
          <w:tcPr/>
          <w:p>
            <w:pPr>
              <w:pStyle w:val="Compact"/>
              <w:jc w:val="left"/>
            </w:pPr>
            <w:r>
              <w:t xml:space="preserve">1,898 (22.3%)</w:t>
            </w:r>
          </w:p>
        </w:tc>
        <w:tc>
          <w:tcPr/>
          <w:p>
            <w:pPr>
              <w:pStyle w:val="Compact"/>
              <w:jc w:val="left"/>
            </w:pPr>
            <w:r>
              <w:t xml:space="preserve">-0.010</w:t>
            </w:r>
          </w:p>
        </w:tc>
      </w:tr>
      <w:tr>
        <w:tc>
          <w:tcPr/>
          <w:p>
            <w:pPr>
              <w:pStyle w:val="Compact"/>
              <w:jc w:val="left"/>
            </w:pPr>
            <w:r>
              <w:t xml:space="preserve">PTSD</w:t>
            </w:r>
          </w:p>
        </w:tc>
        <w:tc>
          <w:tcPr/>
          <w:p>
            <w:pPr>
              <w:pStyle w:val="Compact"/>
              <w:jc w:val="left"/>
            </w:pPr>
            <w:r>
              <w:t xml:space="preserve">1,241 (3.6%)</w:t>
            </w:r>
          </w:p>
        </w:tc>
        <w:tc>
          <w:tcPr/>
          <w:p>
            <w:pPr>
              <w:pStyle w:val="Compact"/>
              <w:jc w:val="left"/>
            </w:pPr>
            <w:r>
              <w:t xml:space="preserve">300 (3.5%)</w:t>
            </w:r>
          </w:p>
        </w:tc>
        <w:tc>
          <w:tcPr/>
          <w:p>
            <w:pPr>
              <w:pStyle w:val="Compact"/>
              <w:jc w:val="left"/>
            </w:pPr>
            <w:r>
              <w:t xml:space="preserve">+0.006</w:t>
            </w:r>
          </w:p>
        </w:tc>
      </w:tr>
      <w:tr>
        <w:tc>
          <w:tcPr/>
          <w:p>
            <w:pPr>
              <w:pStyle w:val="Compact"/>
              <w:jc w:val="left"/>
            </w:pPr>
            <w:r>
              <w:t xml:space="preserve">Alcohol use disorder</w:t>
            </w:r>
          </w:p>
        </w:tc>
        <w:tc>
          <w:tcPr/>
          <w:p>
            <w:pPr>
              <w:pStyle w:val="Compact"/>
              <w:jc w:val="left"/>
            </w:pPr>
            <w:r>
              <w:t xml:space="preserve">1,523 (4.5%)</w:t>
            </w:r>
          </w:p>
        </w:tc>
        <w:tc>
          <w:tcPr/>
          <w:p>
            <w:pPr>
              <w:pStyle w:val="Compact"/>
              <w:jc w:val="left"/>
            </w:pPr>
            <w:r>
              <w:t xml:space="preserve">352 (4.1%)</w:t>
            </w:r>
          </w:p>
        </w:tc>
        <w:tc>
          <w:tcPr/>
          <w:p>
            <w:pPr>
              <w:pStyle w:val="Compact"/>
              <w:jc w:val="left"/>
            </w:pPr>
            <w:r>
              <w:t xml:space="preserve">+0.017</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12,591 (37.0%)</w:t>
            </w:r>
          </w:p>
        </w:tc>
        <w:tc>
          <w:tcPr/>
          <w:p>
            <w:pPr>
              <w:pStyle w:val="Compact"/>
              <w:jc w:val="left"/>
            </w:pPr>
            <w:r>
              <w:t xml:space="preserve">3,156 (37.1%)</w:t>
            </w:r>
          </w:p>
        </w:tc>
        <w:tc>
          <w:tcPr/>
          <w:p>
            <w:pPr>
              <w:pStyle w:val="Compact"/>
              <w:jc w:val="left"/>
            </w:pPr>
            <w:r>
              <w:t xml:space="preserve">-0.002</w:t>
            </w:r>
          </w:p>
        </w:tc>
      </w:tr>
      <w:tr>
        <w:tc>
          <w:tcPr/>
          <w:p>
            <w:pPr>
              <w:pStyle w:val="Compact"/>
              <w:jc w:val="left"/>
            </w:pPr>
            <w:r>
              <w:t xml:space="preserve">Uncontrolled hypertension</w:t>
            </w:r>
          </w:p>
        </w:tc>
        <w:tc>
          <w:tcPr/>
          <w:p>
            <w:pPr>
              <w:pStyle w:val="Compact"/>
              <w:jc w:val="left"/>
            </w:pPr>
            <w:r>
              <w:t xml:space="preserve">12,544 (36.8%)</w:t>
            </w:r>
          </w:p>
        </w:tc>
        <w:tc>
          <w:tcPr/>
          <w:p>
            <w:pPr>
              <w:pStyle w:val="Compact"/>
              <w:jc w:val="left"/>
            </w:pPr>
            <w:r>
              <w:t xml:space="preserve">3,136 (36.8%)</w:t>
            </w:r>
          </w:p>
        </w:tc>
        <w:tc>
          <w:tcPr/>
          <w:p>
            <w:pPr>
              <w:pStyle w:val="Compact"/>
              <w:jc w:val="left"/>
            </w:pPr>
            <w:r>
              <w:t xml:space="preserve">+0.000</w:t>
            </w:r>
          </w:p>
        </w:tc>
      </w:tr>
      <w:tr>
        <w:tc>
          <w:tcPr/>
          <w:p>
            <w:pPr>
              <w:pStyle w:val="Compact"/>
              <w:jc w:val="left"/>
            </w:pPr>
            <w:r>
              <w:t xml:space="preserve">Vital signs (narrative only)</w:t>
            </w:r>
          </w:p>
        </w:tc>
        <w:tc>
          <w:tcPr/>
          <w:p>
            <w:pPr>
              <w:pStyle w:val="Compact"/>
            </w:pPr>
          </w:p>
        </w:tc>
        <w:tc>
          <w:tcPr/>
          <w:p>
            <w:pPr>
              <w:pStyle w:val="Compact"/>
            </w:pPr>
          </w:p>
        </w:tc>
        <w:tc>
          <w:tcPr/>
          <w:p>
            <w:pPr>
              <w:pStyle w:val="Compact"/>
            </w:pPr>
          </w:p>
        </w:tc>
      </w:tr>
      <w:tr>
        <w:tc>
          <w:tcPr/>
          <w:p>
            <w:pPr>
              <w:pStyle w:val="Compact"/>
              <w:jc w:val="left"/>
            </w:pPr>
            <w:r>
              <w:t xml:space="preserve">BMI</w:t>
            </w:r>
          </w:p>
        </w:tc>
        <w:tc>
          <w:tcPr/>
          <w:p>
            <w:pPr>
              <w:pStyle w:val="Compact"/>
              <w:jc w:val="left"/>
            </w:pPr>
            <w:r>
              <w:t xml:space="preserve">29 (25-35)</w:t>
            </w:r>
          </w:p>
        </w:tc>
        <w:tc>
          <w:tcPr/>
          <w:p>
            <w:pPr>
              <w:pStyle w:val="Compact"/>
              <w:jc w:val="left"/>
            </w:pPr>
            <w:r>
              <w:t xml:space="preserve">29 (25-35)</w:t>
            </w:r>
          </w:p>
        </w:tc>
        <w:tc>
          <w:tcPr/>
          <w:p>
            <w:pPr>
              <w:pStyle w:val="Compact"/>
              <w:jc w:val="left"/>
            </w:pPr>
            <w:r>
              <w:t xml:space="preserve">-0.013</w:t>
            </w:r>
          </w:p>
        </w:tc>
      </w:tr>
      <w:tr>
        <w:tc>
          <w:tcPr/>
          <w:p>
            <w:pPr>
              <w:pStyle w:val="Compact"/>
              <w:jc w:val="left"/>
            </w:pPr>
            <w:r>
              <w:t xml:space="preserve">Systolic BP</w:t>
            </w:r>
          </w:p>
        </w:tc>
        <w:tc>
          <w:tcPr/>
          <w:p>
            <w:pPr>
              <w:pStyle w:val="Compact"/>
              <w:jc w:val="left"/>
            </w:pPr>
            <w:r>
              <w:t xml:space="preserve">126 (118-136)</w:t>
            </w:r>
          </w:p>
        </w:tc>
        <w:tc>
          <w:tcPr/>
          <w:p>
            <w:pPr>
              <w:pStyle w:val="Compact"/>
              <w:jc w:val="left"/>
            </w:pPr>
            <w:r>
              <w:t xml:space="preserve">126 (118-136)</w:t>
            </w:r>
          </w:p>
        </w:tc>
        <w:tc>
          <w:tcPr/>
          <w:p>
            <w:pPr>
              <w:pStyle w:val="Compact"/>
              <w:jc w:val="left"/>
            </w:pPr>
            <w:r>
              <w:t xml:space="preserve">-0.010</w:t>
            </w:r>
          </w:p>
        </w:tc>
      </w:tr>
      <w:tr>
        <w:tc>
          <w:tcPr/>
          <w:p>
            <w:pPr>
              <w:pStyle w:val="Compact"/>
              <w:jc w:val="left"/>
            </w:pPr>
            <w:r>
              <w:t xml:space="preserve">BMI: not recorded</w:t>
            </w:r>
          </w:p>
        </w:tc>
        <w:tc>
          <w:tcPr/>
          <w:p>
            <w:pPr>
              <w:pStyle w:val="Compact"/>
              <w:jc w:val="left"/>
            </w:pPr>
            <w:r>
              <w:t xml:space="preserve">7,484 (22.0%)</w:t>
            </w:r>
          </w:p>
        </w:tc>
        <w:tc>
          <w:tcPr/>
          <w:p>
            <w:pPr>
              <w:pStyle w:val="Compact"/>
              <w:jc w:val="left"/>
            </w:pPr>
            <w:r>
              <w:t xml:space="preserve">1,911 (22.4%)</w:t>
            </w:r>
          </w:p>
        </w:tc>
        <w:tc>
          <w:tcPr/>
          <w:p>
            <w:pPr>
              <w:pStyle w:val="Compact"/>
              <w:jc w:val="left"/>
            </w:pPr>
            <w:r>
              <w:t xml:space="preserve">-0.011</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+0.008</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20 (8-47)</w:t>
            </w:r>
          </w:p>
        </w:tc>
        <w:tc>
          <w:tcPr/>
          <w:p>
            <w:pPr>
              <w:pStyle w:val="Compact"/>
              <w:jc w:val="left"/>
            </w:pPr>
            <w:r>
              <w:t xml:space="preserve">-0.001</w:t>
            </w:r>
          </w:p>
        </w:tc>
      </w:tr>
      <w:tr>
        <w:tc>
          <w:tcPr/>
          <w:p>
            <w:pPr>
              <w:pStyle w:val="Compact"/>
              <w:jc w:val="left"/>
            </w:pPr>
            <w:r>
              <w:t xml:space="preserve">Pre-index history (days)</w:t>
            </w:r>
          </w:p>
        </w:tc>
        <w:tc>
          <w:tcPr/>
          <w:p>
            <w:pPr>
              <w:pStyle w:val="Compact"/>
              <w:jc w:val="left"/>
            </w:pPr>
            <w:r>
              <w:t xml:space="preserve">1792 (1213-2547)</w:t>
            </w:r>
          </w:p>
        </w:tc>
        <w:tc>
          <w:tcPr/>
          <w:p>
            <w:pPr>
              <w:pStyle w:val="Compact"/>
              <w:jc w:val="left"/>
            </w:pPr>
            <w:r>
              <w:t xml:space="preserve">1797 (1222-2541)</w:t>
            </w:r>
          </w:p>
        </w:tc>
        <w:tc>
          <w:tcPr/>
          <w:p>
            <w:pPr>
              <w:pStyle w:val="Compact"/>
              <w:jc w:val="left"/>
            </w:pPr>
            <w:r>
              <w:t xml:space="preserve">+0.004</w:t>
            </w:r>
          </w:p>
        </w:tc>
      </w:tr>
      <w:tr>
        <w:tc>
          <w:tcPr/>
          <w:p>
            <w:pPr>
              <w:pStyle w:val="Compact"/>
              <w:jc w:val="left"/>
            </w:pPr>
            <w:r>
              <w:t xml:space="preserve">Prior adequate AD trial (any class)</w:t>
            </w:r>
          </w:p>
        </w:tc>
        <w:tc>
          <w:tcPr/>
          <w:p>
            <w:pPr>
              <w:pStyle w:val="Compact"/>
              <w:jc w:val="left"/>
            </w:pPr>
            <w:r>
              <w:t xml:space="preserve">5,014 (14.7%)</w:t>
            </w:r>
          </w:p>
        </w:tc>
        <w:tc>
          <w:tcPr/>
          <w:p>
            <w:pPr>
              <w:pStyle w:val="Compact"/>
              <w:jc w:val="left"/>
            </w:pPr>
            <w:r>
              <w:t xml:space="preserve">1,262 (14.8%)</w:t>
            </w:r>
          </w:p>
        </w:tc>
        <w:tc>
          <w:tcPr/>
          <w:p>
            <w:pPr>
              <w:pStyle w:val="Compact"/>
              <w:jc w:val="left"/>
            </w:pPr>
            <w:r>
              <w:t xml:space="preserve">-0.003</w:t>
            </w:r>
          </w:p>
        </w:tc>
      </w:tr>
      <w:tr>
        <w:tc>
          <w:tcPr/>
          <w:p>
            <w:pPr>
              <w:pStyle w:val="Compact"/>
              <w:jc w:val="left"/>
            </w:pPr>
            <w:r>
              <w:t xml:space="preserve">Benzodiazepine days recorded</w:t>
            </w:r>
          </w:p>
        </w:tc>
        <w:tc>
          <w:tcPr/>
          <w:p>
            <w:pPr>
              <w:pStyle w:val="Compact"/>
              <w:jc w:val="left"/>
            </w:pPr>
            <w:r>
              <w:t xml:space="preserve">3,775 (11.1%)</w:t>
            </w:r>
          </w:p>
        </w:tc>
        <w:tc>
          <w:tcPr/>
          <w:p>
            <w:pPr>
              <w:pStyle w:val="Compact"/>
              <w:jc w:val="left"/>
            </w:pPr>
            <w:r>
              <w:t xml:space="preserve">949 (11.1%)</w:t>
            </w:r>
          </w:p>
        </w:tc>
        <w:tc>
          <w:tcPr/>
          <w:p>
            <w:pPr>
              <w:pStyle w:val="Compact"/>
              <w:jc w:val="left"/>
            </w:pPr>
            <w:r>
              <w:t xml:space="preserve">-0.002</w:t>
            </w:r>
          </w:p>
        </w:tc>
      </w:tr>
      <w:tr>
        <w:tc>
          <w:tcPr/>
          <w:p>
            <w:pPr>
              <w:pStyle w:val="Compact"/>
              <w:jc w:val="left"/>
            </w:pPr>
            <w:r>
              <w:t xml:space="preserve">Hypnotic recorded</w:t>
            </w:r>
          </w:p>
        </w:tc>
        <w:tc>
          <w:tcPr/>
          <w:p>
            <w:pPr>
              <w:pStyle w:val="Compact"/>
              <w:jc w:val="left"/>
            </w:pPr>
            <w:r>
              <w:t xml:space="preserve">1,319 (3.9%)</w:t>
            </w:r>
          </w:p>
        </w:tc>
        <w:tc>
          <w:tcPr/>
          <w:p>
            <w:pPr>
              <w:pStyle w:val="Compact"/>
              <w:jc w:val="left"/>
            </w:pPr>
            <w:r>
              <w:t xml:space="preserve">342 (4.0%)</w:t>
            </w:r>
          </w:p>
        </w:tc>
        <w:tc>
          <w:tcPr/>
          <w:p>
            <w:pPr>
              <w:pStyle w:val="Compact"/>
              <w:jc w:val="left"/>
            </w:pPr>
            <w:r>
              <w:t xml:space="preserve">-0.007</w:t>
            </w:r>
          </w:p>
        </w:tc>
      </w:tr>
      <w:tr>
        <w:tc>
          <w:tcPr/>
          <w:p>
            <w:pPr>
              <w:pStyle w:val="Compact"/>
              <w:jc w:val="left"/>
            </w:pPr>
            <w:r>
              <w:t xml:space="preserve">Augmentation therapy used</w:t>
            </w:r>
          </w:p>
        </w:tc>
        <w:tc>
          <w:tcPr/>
          <w:p>
            <w:pPr>
              <w:pStyle w:val="Compact"/>
              <w:jc w:val="left"/>
            </w:pPr>
            <w:r>
              <w:t xml:space="preserve">326 (1.0%)</w:t>
            </w:r>
          </w:p>
        </w:tc>
        <w:tc>
          <w:tcPr/>
          <w:p>
            <w:pPr>
              <w:pStyle w:val="Compact"/>
              <w:jc w:val="left"/>
            </w:pPr>
            <w:r>
              <w:t xml:space="preserve">96 (1.1%)</w:t>
            </w:r>
          </w:p>
        </w:tc>
        <w:tc>
          <w:tcPr/>
          <w:p>
            <w:pPr>
              <w:pStyle w:val="Compact"/>
              <w:jc w:val="left"/>
            </w:pPr>
            <w:r>
              <w:t xml:space="preserve">-0.017</w:t>
            </w:r>
          </w:p>
        </w:tc>
      </w:tr>
    </w:tbl>
    <w:p>
      <w:pPr>
        <w:pStyle w:val="FirstParagraph"/>
      </w:pPr>
      <w:r>
        <w:t xml:space="preserve">The measured balance supports internal comparability. It does not establish distributional identity or representativeness of the health system, because both partitions inherit the same sampling design.</w:t>
      </w:r>
    </w:p>
    <w:bookmarkEnd w:id="165"/>
    <w:bookmarkStart w:id="173" w:name="_1cd81a9d82146e44646b3d3efafb429ca92131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166" w:name="_292aabe1f1f2c597b52f00a30de6275b6dd27ea"/>
    <w:p>
      <w:pPr>
        <w:pStyle w:val="Heading2"/>
      </w:pPr>
      <w:r>
        <w:t xml:space="preserve">S9.1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3 neighbor configurations for the primary encoder, each at its own best k from section S6: nearest retrieval under plain cosine similarity (k = 757) and under logistic-regression-weighted similarity (k = 295), and uniform random retrieval (k = 32,720) as a control. Between-group contrasts included the 2 nearest-neighbor configurations and excluded the control.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(95% CI 98.7–99.1) of held-out patients preferred English. A subgroup was treated as not estimable when its smaller outcome class contained fewer than 20 patients.</w:t>
      </w:r>
    </w:p>
    <w:p>
      <w:pPr>
        <w:pStyle w:val="BodyText"/>
      </w:pPr>
      <w:r>
        <w:t xml:space="preserve">Within-group CIs used percentile bootstrap resampling, and every within-group metric (ROC AUC, Brier score, logistic slope, mean risk difference) carries one, cut from the same resamples.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labeled</w:t>
      </w:r>
      <w:r>
        <w:t xml:space="preserve"> </w:t>
      </w:r>
      <w:r>
        <w:t xml:space="preserve">“mean risk difference”</w:t>
      </w:r>
      <w:r>
        <w:t xml:space="preserve"> </w:t>
      </w:r>
      <w:r>
        <w:t xml:space="preserve">rather than</w:t>
      </w:r>
      <w:r>
        <w:t xml:space="preserve"> </w:t>
      </w:r>
      <w:r>
        <w:t xml:space="preserve">“calibration-in-the-large”</w:t>
      </w:r>
      <w:r>
        <w:t xml:space="preserve"> </w:t>
      </w:r>
      <w:r>
        <w:t xml:space="preserve">to identify the quantity actually calculated. This is not a logistic calibration intercept. Both differ from the binned-curve parameters in section S3.</w:t>
      </w:r>
    </w:p>
    <w:bookmarkEnd w:id="166"/>
    <w:bookmarkStart w:id="167" w:name="_28a962e901bef8a4fcaa60465b695b427d3a2f2"/>
    <w:p>
      <w:pPr>
        <w:pStyle w:val="Heading2"/>
      </w:pPr>
      <w:r>
        <w:t xml:space="preserve">S9.2 Sociodemographic strata</w:t>
      </w:r>
    </w:p>
    <w:p>
      <w:pPr>
        <w:pStyle w:val="FirstParagraph"/>
      </w:pPr>
      <w:r>
        <w:t xml:space="preserve">Table S10. Discrimination and calibration by sociodemographic stratum, one representative model per arm, held-out test set. Groups are not disjoint across families: every patient with a recorded sex appears in one sex row and every patient with a recorded race in one race row.</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E LR</w:t>
            </w:r>
          </w:p>
        </w:tc>
        <w:tc>
          <w:tcPr/>
          <w:p>
            <w:pPr>
              <w:pStyle w:val="Compact"/>
            </w:pPr>
            <w:r>
              <w:t xml:space="preserve">0.657 (0.643–0.672)</w:t>
            </w:r>
          </w:p>
        </w:tc>
        <w:tc>
          <w:tcPr/>
          <w:p>
            <w:pPr>
              <w:pStyle w:val="Compact"/>
            </w:pPr>
            <w:r>
              <w:t xml:space="preserve">0.137 (0.132–0.142)</w:t>
            </w:r>
          </w:p>
        </w:tc>
        <w:tc>
          <w:tcPr/>
          <w:p>
            <w:pPr>
              <w:pStyle w:val="Compact"/>
            </w:pPr>
            <w:r>
              <w:t xml:space="preserve">0.97 (0.88–1.06)</w:t>
            </w:r>
          </w:p>
        </w:tc>
        <w:tc>
          <w:tcPr/>
          <w:p>
            <w:pPr>
              <w:pStyle w:val="Compact"/>
            </w:pPr>
            <w:r>
              <w:t xml:space="preserve">+0.000 (−0.007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F LR</w:t>
            </w:r>
          </w:p>
        </w:tc>
        <w:tc>
          <w:tcPr/>
          <w:p>
            <w:pPr>
              <w:pStyle w:val="Compact"/>
            </w:pPr>
            <w:r>
              <w:t xml:space="preserve">0.629 (0.613–0.644)</w:t>
            </w:r>
          </w:p>
        </w:tc>
        <w:tc>
          <w:tcPr/>
          <w:p>
            <w:pPr>
              <w:pStyle w:val="Compact"/>
            </w:pPr>
            <w:r>
              <w:t xml:space="preserve">0.139 (0.134–0.144)</w:t>
            </w:r>
          </w:p>
        </w:tc>
        <w:tc>
          <w:tcPr/>
          <w:p>
            <w:pPr>
              <w:pStyle w:val="Compact"/>
            </w:pPr>
            <w:r>
              <w:t xml:space="preserve">0.95 (0.84–1.05)</w:t>
            </w:r>
          </w:p>
        </w:tc>
        <w:tc>
          <w:tcPr/>
          <w:p>
            <w:pPr>
              <w:pStyle w:val="Compact"/>
            </w:pPr>
            <w:r>
              <w:t xml:space="preserve">−0.000 (−0.008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N WTD</w:t>
            </w:r>
          </w:p>
        </w:tc>
        <w:tc>
          <w:tcPr/>
          <w:p>
            <w:pPr>
              <w:pStyle w:val="Compact"/>
            </w:pPr>
            <w:r>
              <w:t xml:space="preserve">0.625 (0.610–0.641)</w:t>
            </w:r>
          </w:p>
        </w:tc>
        <w:tc>
          <w:tcPr/>
          <w:p>
            <w:pPr>
              <w:pStyle w:val="Compact"/>
            </w:pPr>
            <w:r>
              <w:t xml:space="preserve">0.140 (0.134–0.145)</w:t>
            </w:r>
          </w:p>
        </w:tc>
        <w:tc>
          <w:tcPr/>
          <w:p>
            <w:pPr>
              <w:pStyle w:val="Compact"/>
            </w:pPr>
            <w:r>
              <w:t xml:space="preserve">1.15 (1.01–1.29)</w:t>
            </w:r>
          </w:p>
        </w:tc>
        <w:tc>
          <w:tcPr/>
          <w:p>
            <w:pPr>
              <w:pStyle w:val="Compact"/>
            </w:pPr>
            <w:r>
              <w:t xml:space="preserve">−0.004 (−0.012 to +0.005)</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E LR</w:t>
            </w:r>
          </w:p>
        </w:tc>
        <w:tc>
          <w:tcPr/>
          <w:p>
            <w:pPr>
              <w:pStyle w:val="Compact"/>
            </w:pPr>
            <w:r>
              <w:t xml:space="preserve">0.653 (0.622–0.682)</w:t>
            </w:r>
          </w:p>
        </w:tc>
        <w:tc>
          <w:tcPr/>
          <w:p>
            <w:pPr>
              <w:pStyle w:val="Compact"/>
            </w:pPr>
            <w:r>
              <w:t xml:space="preserve">0.131 (0.121–0.140)</w:t>
            </w:r>
          </w:p>
        </w:tc>
        <w:tc>
          <w:tcPr/>
          <w:p>
            <w:pPr>
              <w:pStyle w:val="Compact"/>
            </w:pPr>
            <w:r>
              <w:t xml:space="preserve">0.94 (0.76–1.13)</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F LR</w:t>
            </w:r>
          </w:p>
        </w:tc>
        <w:tc>
          <w:tcPr/>
          <w:p>
            <w:pPr>
              <w:pStyle w:val="Compact"/>
            </w:pPr>
            <w:r>
              <w:t xml:space="preserve">0.626 (0.595–0.655)</w:t>
            </w:r>
          </w:p>
        </w:tc>
        <w:tc>
          <w:tcPr/>
          <w:p>
            <w:pPr>
              <w:pStyle w:val="Compact"/>
            </w:pPr>
            <w:r>
              <w:t xml:space="preserve">0.133 (0.123–0.143)</w:t>
            </w:r>
          </w:p>
        </w:tc>
        <w:tc>
          <w:tcPr/>
          <w:p>
            <w:pPr>
              <w:pStyle w:val="Compact"/>
            </w:pPr>
            <w:r>
              <w:t xml:space="preserve">0.86 (0.65–1.07)</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N WTD</w:t>
            </w:r>
          </w:p>
        </w:tc>
        <w:tc>
          <w:tcPr/>
          <w:p>
            <w:pPr>
              <w:pStyle w:val="Compact"/>
            </w:pPr>
            <w:r>
              <w:t xml:space="preserve">0.625 (0.595–0.653)</w:t>
            </w:r>
          </w:p>
        </w:tc>
        <w:tc>
          <w:tcPr/>
          <w:p>
            <w:pPr>
              <w:pStyle w:val="Compact"/>
            </w:pPr>
            <w:r>
              <w:t xml:space="preserve">0.133 (0.124–0.142)</w:t>
            </w:r>
          </w:p>
        </w:tc>
        <w:tc>
          <w:tcPr/>
          <w:p>
            <w:pPr>
              <w:pStyle w:val="Compact"/>
            </w:pPr>
            <w:r>
              <w:t xml:space="preserve">1.04 (0.78–1.28)</w:t>
            </w:r>
          </w:p>
        </w:tc>
        <w:tc>
          <w:tcPr/>
          <w:p>
            <w:pPr>
              <w:pStyle w:val="Compact"/>
            </w:pPr>
            <w:r>
              <w:t xml:space="preserve">−0.001 (−0.014 to +0.013)</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E LR</w:t>
            </w:r>
          </w:p>
        </w:tc>
        <w:tc>
          <w:tcPr/>
          <w:p>
            <w:pPr>
              <w:pStyle w:val="Compact"/>
            </w:pPr>
            <w:r>
              <w:t xml:space="preserve">0.658 (0.641–0.675)</w:t>
            </w:r>
          </w:p>
        </w:tc>
        <w:tc>
          <w:tcPr/>
          <w:p>
            <w:pPr>
              <w:pStyle w:val="Compact"/>
            </w:pPr>
            <w:r>
              <w:t xml:space="preserve">0.139 (0.134–0.145)</w:t>
            </w:r>
          </w:p>
        </w:tc>
        <w:tc>
          <w:tcPr/>
          <w:p>
            <w:pPr>
              <w:pStyle w:val="Compact"/>
            </w:pPr>
            <w:r>
              <w:t xml:space="preserve">0.98 (0.87–1.09)</w:t>
            </w:r>
          </w:p>
        </w:tc>
        <w:tc>
          <w:tcPr/>
          <w:p>
            <w:pPr>
              <w:pStyle w:val="Compact"/>
            </w:pPr>
            <w:r>
              <w:t xml:space="preserve">+0.002 (−0.007 to +0.011)</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F LR</w:t>
            </w:r>
          </w:p>
        </w:tc>
        <w:tc>
          <w:tcPr/>
          <w:p>
            <w:pPr>
              <w:pStyle w:val="Compact"/>
            </w:pPr>
            <w:r>
              <w:t xml:space="preserve">0.630 (0.612–0.648)</w:t>
            </w:r>
          </w:p>
        </w:tc>
        <w:tc>
          <w:tcPr/>
          <w:p>
            <w:pPr>
              <w:pStyle w:val="Compact"/>
            </w:pPr>
            <w:r>
              <w:t xml:space="preserve">0.141 (0.136–0.147)</w:t>
            </w:r>
          </w:p>
        </w:tc>
        <w:tc>
          <w:tcPr/>
          <w:p>
            <w:pPr>
              <w:pStyle w:val="Compact"/>
            </w:pPr>
            <w:r>
              <w:t xml:space="preserve">0.99 (0.86–1.12)</w:t>
            </w:r>
          </w:p>
        </w:tc>
        <w:tc>
          <w:tcPr/>
          <w:p>
            <w:pPr>
              <w:pStyle w:val="Compact"/>
            </w:pPr>
            <w:r>
              <w:t xml:space="preserve">+0.001 (−0.008 to +0.010)</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N WTD</w:t>
            </w:r>
          </w:p>
        </w:tc>
        <w:tc>
          <w:tcPr/>
          <w:p>
            <w:pPr>
              <w:pStyle w:val="Compact"/>
            </w:pPr>
            <w:r>
              <w:t xml:space="preserve">0.624 (0.607–0.642)</w:t>
            </w:r>
          </w:p>
        </w:tc>
        <w:tc>
          <w:tcPr/>
          <w:p>
            <w:pPr>
              <w:pStyle w:val="Compact"/>
            </w:pPr>
            <w:r>
              <w:t xml:space="preserve">0.142 (0.136–0.148)</w:t>
            </w:r>
          </w:p>
        </w:tc>
        <w:tc>
          <w:tcPr/>
          <w:p>
            <w:pPr>
              <w:pStyle w:val="Compact"/>
            </w:pPr>
            <w:r>
              <w:t xml:space="preserve">1.20 (1.04–1.37)</w:t>
            </w:r>
          </w:p>
        </w:tc>
        <w:tc>
          <w:tcPr/>
          <w:p>
            <w:pPr>
              <w:pStyle w:val="Compact"/>
            </w:pPr>
            <w:r>
              <w:t xml:space="preserve">−0.005 (−0.013 to +0.004)</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E LR</w:t>
            </w:r>
          </w:p>
        </w:tc>
        <w:tc>
          <w:tcPr/>
          <w:p>
            <w:pPr>
              <w:pStyle w:val="Compact"/>
            </w:pPr>
            <w:r>
              <w:t xml:space="preserve">0.657 (0.640–0.674)</w:t>
            </w:r>
          </w:p>
        </w:tc>
        <w:tc>
          <w:tcPr/>
          <w:p>
            <w:pPr>
              <w:pStyle w:val="Compact"/>
            </w:pPr>
            <w:r>
              <w:t xml:space="preserve">0.136 (0.130–0.141)</w:t>
            </w:r>
          </w:p>
        </w:tc>
        <w:tc>
          <w:tcPr/>
          <w:p>
            <w:pPr>
              <w:pStyle w:val="Compact"/>
            </w:pPr>
            <w:r>
              <w:t xml:space="preserve">0.97 (0.87–1.08)</w:t>
            </w:r>
          </w:p>
        </w:tc>
        <w:tc>
          <w:tcPr/>
          <w:p>
            <w:pPr>
              <w:pStyle w:val="Compact"/>
            </w:pPr>
            <w:r>
              <w:t xml:space="preserve">+0.002 (−0.007 to +0.010)</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F LR</w:t>
            </w:r>
          </w:p>
        </w:tc>
        <w:tc>
          <w:tcPr/>
          <w:p>
            <w:pPr>
              <w:pStyle w:val="Compact"/>
            </w:pPr>
            <w:r>
              <w:t xml:space="preserve">0.633 (0.615–0.652)</w:t>
            </w:r>
          </w:p>
        </w:tc>
        <w:tc>
          <w:tcPr/>
          <w:p>
            <w:pPr>
              <w:pStyle w:val="Compact"/>
            </w:pPr>
            <w:r>
              <w:t xml:space="preserve">0.137 (0.132–0.143)</w:t>
            </w:r>
          </w:p>
        </w:tc>
        <w:tc>
          <w:tcPr/>
          <w:p>
            <w:pPr>
              <w:pStyle w:val="Compact"/>
            </w:pPr>
            <w:r>
              <w:t xml:space="preserve">0.98 (0.84–1.11)</w:t>
            </w:r>
          </w:p>
        </w:tc>
        <w:tc>
          <w:tcPr/>
          <w:p>
            <w:pPr>
              <w:pStyle w:val="Compact"/>
            </w:pPr>
            <w:r>
              <w:t xml:space="preserve">+0.001 (−0.008 to +0.009)</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N WTD</w:t>
            </w:r>
          </w:p>
        </w:tc>
        <w:tc>
          <w:tcPr/>
          <w:p>
            <w:pPr>
              <w:pStyle w:val="Compact"/>
            </w:pPr>
            <w:r>
              <w:t xml:space="preserve">0.633 (0.615–0.650)</w:t>
            </w:r>
          </w:p>
        </w:tc>
        <w:tc>
          <w:tcPr/>
          <w:p>
            <w:pPr>
              <w:pStyle w:val="Compact"/>
            </w:pPr>
            <w:r>
              <w:t xml:space="preserve">0.138 (0.132–0.143)</w:t>
            </w:r>
          </w:p>
        </w:tc>
        <w:tc>
          <w:tcPr/>
          <w:p>
            <w:pPr>
              <w:pStyle w:val="Compact"/>
            </w:pPr>
            <w:r>
              <w:t xml:space="preserve">1.22 (1.06–1.38)</w:t>
            </w:r>
          </w:p>
        </w:tc>
        <w:tc>
          <w:tcPr/>
          <w:p>
            <w:pPr>
              <w:pStyle w:val="Compact"/>
            </w:pPr>
            <w:r>
              <w:t xml:space="preserve">−0.004 (−0.013 to +0.005)</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E LR</w:t>
            </w:r>
          </w:p>
        </w:tc>
        <w:tc>
          <w:tcPr/>
          <w:p>
            <w:pPr>
              <w:pStyle w:val="Compact"/>
            </w:pPr>
            <w:r>
              <w:t xml:space="preserve">0.652 (0.620–0.684)</w:t>
            </w:r>
          </w:p>
        </w:tc>
        <w:tc>
          <w:tcPr/>
          <w:p>
            <w:pPr>
              <w:pStyle w:val="Compact"/>
            </w:pPr>
            <w:r>
              <w:t xml:space="preserve">0.144 (0.133–0.155)</w:t>
            </w:r>
          </w:p>
        </w:tc>
        <w:tc>
          <w:tcPr/>
          <w:p>
            <w:pPr>
              <w:pStyle w:val="Compact"/>
            </w:pPr>
            <w:r>
              <w:t xml:space="preserve">0.95 (0.74–1.16)</w:t>
            </w:r>
          </w:p>
        </w:tc>
        <w:tc>
          <w:tcPr/>
          <w:p>
            <w:pPr>
              <w:pStyle w:val="Compact"/>
            </w:pPr>
            <w:r>
              <w:t xml:space="preserve">−0.004 (−0.023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F LR</w:t>
            </w:r>
          </w:p>
        </w:tc>
        <w:tc>
          <w:tcPr/>
          <w:p>
            <w:pPr>
              <w:pStyle w:val="Compact"/>
            </w:pPr>
            <w:r>
              <w:t xml:space="preserve">0.608 (0.573–0.643)</w:t>
            </w:r>
          </w:p>
        </w:tc>
        <w:tc>
          <w:tcPr/>
          <w:p>
            <w:pPr>
              <w:pStyle w:val="Compact"/>
            </w:pPr>
            <w:r>
              <w:t xml:space="preserve">0.147 (0.136–0.160)</w:t>
            </w:r>
          </w:p>
        </w:tc>
        <w:tc>
          <w:tcPr/>
          <w:p>
            <w:pPr>
              <w:pStyle w:val="Compact"/>
            </w:pPr>
            <w:r>
              <w:t xml:space="preserve">0.79 (0.56–1.02)</w:t>
            </w:r>
          </w:p>
        </w:tc>
        <w:tc>
          <w:tcPr/>
          <w:p>
            <w:pPr>
              <w:pStyle w:val="Compact"/>
            </w:pPr>
            <w:r>
              <w:t xml:space="preserve">−0.004 (−0.024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N WTD</w:t>
            </w:r>
          </w:p>
        </w:tc>
        <w:tc>
          <w:tcPr/>
          <w:p>
            <w:pPr>
              <w:pStyle w:val="Compact"/>
            </w:pPr>
            <w:r>
              <w:t xml:space="preserve">0.587 (0.553–0.620)</w:t>
            </w:r>
          </w:p>
        </w:tc>
        <w:tc>
          <w:tcPr/>
          <w:p>
            <w:pPr>
              <w:pStyle w:val="Compact"/>
            </w:pPr>
            <w:r>
              <w:t xml:space="preserve">0.148 (0.138–0.161)</w:t>
            </w:r>
          </w:p>
        </w:tc>
        <w:tc>
          <w:tcPr/>
          <w:p>
            <w:pPr>
              <w:pStyle w:val="Compact"/>
            </w:pPr>
            <w:r>
              <w:t xml:space="preserve">0.85 (0.53–1.15)</w:t>
            </w:r>
          </w:p>
        </w:tc>
        <w:tc>
          <w:tcPr/>
          <w:p>
            <w:pPr>
              <w:pStyle w:val="Compact"/>
            </w:pPr>
            <w:r>
              <w:t xml:space="preserve">−0.004 (−0.024 to +0.013)</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E LR</w:t>
            </w:r>
          </w:p>
        </w:tc>
        <w:tc>
          <w:tcPr/>
          <w:p>
            <w:pPr>
              <w:pStyle w:val="Compact"/>
            </w:pPr>
            <w:r>
              <w:t xml:space="preserve">0.611 (0.568–0.654)</w:t>
            </w:r>
          </w:p>
        </w:tc>
        <w:tc>
          <w:tcPr/>
          <w:p>
            <w:pPr>
              <w:pStyle w:val="Compact"/>
            </w:pPr>
            <w:r>
              <w:t xml:space="preserve">0.156 (0.142–0.171)</w:t>
            </w:r>
          </w:p>
        </w:tc>
        <w:tc>
          <w:tcPr/>
          <w:p>
            <w:pPr>
              <w:pStyle w:val="Compact"/>
            </w:pPr>
            <w:r>
              <w:t xml:space="preserve">0.78 (0.49–1.07)</w:t>
            </w:r>
          </w:p>
        </w:tc>
        <w:tc>
          <w:tcPr/>
          <w:p>
            <w:pPr>
              <w:pStyle w:val="Compact"/>
            </w:pPr>
            <w:r>
              <w:t xml:space="preserve">+0.003 (−0.022 to +0.026)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F LR</w:t>
            </w:r>
          </w:p>
        </w:tc>
        <w:tc>
          <w:tcPr/>
          <w:p>
            <w:pPr>
              <w:pStyle w:val="Compact"/>
            </w:pPr>
            <w:r>
              <w:t xml:space="preserve">0.570 (0.524–0.615)</w:t>
            </w:r>
          </w:p>
        </w:tc>
        <w:tc>
          <w:tcPr/>
          <w:p>
            <w:pPr>
              <w:pStyle w:val="Compact"/>
            </w:pPr>
            <w:r>
              <w:t xml:space="preserve">0.160 (0.146–0.174)</w:t>
            </w:r>
          </w:p>
        </w:tc>
        <w:tc>
          <w:tcPr/>
          <w:p>
            <w:pPr>
              <w:pStyle w:val="Compact"/>
            </w:pPr>
            <w:r>
              <w:t xml:space="preserve">0.60 (0.22–0.92)</w:t>
            </w:r>
          </w:p>
        </w:tc>
        <w:tc>
          <w:tcPr/>
          <w:p>
            <w:pPr>
              <w:pStyle w:val="Compact"/>
            </w:pPr>
            <w:r>
              <w:t xml:space="preserve">+0.012 (−0.014 to +0.036)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N WTD</w:t>
            </w:r>
          </w:p>
        </w:tc>
        <w:tc>
          <w:tcPr/>
          <w:p>
            <w:pPr>
              <w:pStyle w:val="Compact"/>
            </w:pPr>
            <w:r>
              <w:t xml:space="preserve">0.578 (0.535–0.620)</w:t>
            </w:r>
          </w:p>
        </w:tc>
        <w:tc>
          <w:tcPr/>
          <w:p>
            <w:pPr>
              <w:pStyle w:val="Compact"/>
            </w:pPr>
            <w:r>
              <w:t xml:space="preserve">0.158 (0.144–0.174)</w:t>
            </w:r>
          </w:p>
        </w:tc>
        <w:tc>
          <w:tcPr/>
          <w:p>
            <w:pPr>
              <w:pStyle w:val="Compact"/>
            </w:pPr>
            <w:r>
              <w:t xml:space="preserve">0.81 (0.40–1.24)</w:t>
            </w:r>
          </w:p>
        </w:tc>
        <w:tc>
          <w:tcPr/>
          <w:p>
            <w:pPr>
              <w:pStyle w:val="Compact"/>
            </w:pPr>
            <w:r>
              <w:t xml:space="preserve">−0.007 (−0.033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E LR</w:t>
            </w:r>
          </w:p>
        </w:tc>
        <w:tc>
          <w:tcPr/>
          <w:p>
            <w:pPr>
              <w:pStyle w:val="Compact"/>
            </w:pPr>
            <w:r>
              <w:t xml:space="preserve">0.653 (0.621–0.682)</w:t>
            </w:r>
          </w:p>
        </w:tc>
        <w:tc>
          <w:tcPr/>
          <w:p>
            <w:pPr>
              <w:pStyle w:val="Compact"/>
            </w:pPr>
            <w:r>
              <w:t xml:space="preserve">0.154 (0.144–0.165)</w:t>
            </w:r>
          </w:p>
        </w:tc>
        <w:tc>
          <w:tcPr/>
          <w:p>
            <w:pPr>
              <w:pStyle w:val="Compact"/>
            </w:pPr>
            <w:r>
              <w:t xml:space="preserve">0.95 (0.76–1.14)</w:t>
            </w:r>
          </w:p>
        </w:tc>
        <w:tc>
          <w:tcPr/>
          <w:p>
            <w:pPr>
              <w:pStyle w:val="Compact"/>
            </w:pPr>
            <w:r>
              <w:t xml:space="preserve">−0.002 (−0.021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F LR</w:t>
            </w:r>
          </w:p>
        </w:tc>
        <w:tc>
          <w:tcPr/>
          <w:p>
            <w:pPr>
              <w:pStyle w:val="Compact"/>
            </w:pPr>
            <w:r>
              <w:t xml:space="preserve">0.636 (0.605–0.667)</w:t>
            </w:r>
          </w:p>
        </w:tc>
        <w:tc>
          <w:tcPr/>
          <w:p>
            <w:pPr>
              <w:pStyle w:val="Compact"/>
            </w:pPr>
            <w:r>
              <w:t xml:space="preserve">0.155 (0.145–0.167)</w:t>
            </w:r>
          </w:p>
        </w:tc>
        <w:tc>
          <w:tcPr/>
          <w:p>
            <w:pPr>
              <w:pStyle w:val="Compact"/>
            </w:pPr>
            <w:r>
              <w:t xml:space="preserve">1.00 (0.78–1.24)</w:t>
            </w:r>
          </w:p>
        </w:tc>
        <w:tc>
          <w:tcPr/>
          <w:p>
            <w:pPr>
              <w:pStyle w:val="Compact"/>
            </w:pPr>
            <w:r>
              <w:t xml:space="preserve">−0.002 (−0.020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N WTD</w:t>
            </w:r>
          </w:p>
        </w:tc>
        <w:tc>
          <w:tcPr/>
          <w:p>
            <w:pPr>
              <w:pStyle w:val="Compact"/>
            </w:pPr>
            <w:r>
              <w:t xml:space="preserve">0.610 (0.578–0.642)</w:t>
            </w:r>
          </w:p>
        </w:tc>
        <w:tc>
          <w:tcPr/>
          <w:p>
            <w:pPr>
              <w:pStyle w:val="Compact"/>
            </w:pPr>
            <w:r>
              <w:t xml:space="preserve">0.158 (0.147–0.170)</w:t>
            </w:r>
          </w:p>
        </w:tc>
        <w:tc>
          <w:tcPr/>
          <w:p>
            <w:pPr>
              <w:pStyle w:val="Compact"/>
            </w:pPr>
            <w:r>
              <w:t xml:space="preserve">1.08 (0.78–1.36)</w:t>
            </w:r>
          </w:p>
        </w:tc>
        <w:tc>
          <w:tcPr/>
          <w:p>
            <w:pPr>
              <w:pStyle w:val="Compact"/>
            </w:pPr>
            <w:r>
              <w:t xml:space="preserve">−0.015 (−0.035 to +0.002)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E LR</w:t>
            </w:r>
          </w:p>
        </w:tc>
        <w:tc>
          <w:tcPr/>
          <w:p>
            <w:pPr>
              <w:pStyle w:val="Compact"/>
            </w:pPr>
            <w:r>
              <w:t xml:space="preserve">0.652 (0.623–0.679)</w:t>
            </w:r>
          </w:p>
        </w:tc>
        <w:tc>
          <w:tcPr/>
          <w:p>
            <w:pPr>
              <w:pStyle w:val="Compact"/>
            </w:pPr>
            <w:r>
              <w:t xml:space="preserve">0.140 (0.130–0.148)</w:t>
            </w:r>
          </w:p>
        </w:tc>
        <w:tc>
          <w:tcPr/>
          <w:p>
            <w:pPr>
              <w:pStyle w:val="Compact"/>
            </w:pPr>
            <w:r>
              <w:t xml:space="preserve">0.98 (0.81–1.15)</w:t>
            </w:r>
          </w:p>
        </w:tc>
        <w:tc>
          <w:tcPr/>
          <w:p>
            <w:pPr>
              <w:pStyle w:val="Compact"/>
            </w:pPr>
            <w:r>
              <w:t xml:space="preserve">+0.007 (−0.006 to +0.022)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F LR</w:t>
            </w:r>
          </w:p>
        </w:tc>
        <w:tc>
          <w:tcPr/>
          <w:p>
            <w:pPr>
              <w:pStyle w:val="Compact"/>
            </w:pPr>
            <w:r>
              <w:t xml:space="preserve">0.607 (0.580–0.636)</w:t>
            </w:r>
          </w:p>
        </w:tc>
        <w:tc>
          <w:tcPr/>
          <w:p>
            <w:pPr>
              <w:pStyle w:val="Compact"/>
            </w:pPr>
            <w:r>
              <w:t xml:space="preserve">0.143 (0.133–0.151)</w:t>
            </w:r>
          </w:p>
        </w:tc>
        <w:tc>
          <w:tcPr/>
          <w:p>
            <w:pPr>
              <w:pStyle w:val="Compact"/>
            </w:pPr>
            <w:r>
              <w:t xml:space="preserve">0.88 (0.68–1.10)</w:t>
            </w:r>
          </w:p>
        </w:tc>
        <w:tc>
          <w:tcPr/>
          <w:p>
            <w:pPr>
              <w:pStyle w:val="Compact"/>
            </w:pPr>
            <w:r>
              <w:t xml:space="preserve">−0.001 (−0.014 to +0.014)</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N WTD</w:t>
            </w:r>
          </w:p>
        </w:tc>
        <w:tc>
          <w:tcPr/>
          <w:p>
            <w:pPr>
              <w:pStyle w:val="Compact"/>
            </w:pPr>
            <w:r>
              <w:t xml:space="preserve">0.624 (0.594–0.651)</w:t>
            </w:r>
          </w:p>
        </w:tc>
        <w:tc>
          <w:tcPr/>
          <w:p>
            <w:pPr>
              <w:pStyle w:val="Compact"/>
            </w:pPr>
            <w:r>
              <w:t xml:space="preserve">0.142 (0.133–0.151)</w:t>
            </w:r>
          </w:p>
        </w:tc>
        <w:tc>
          <w:tcPr/>
          <w:p>
            <w:pPr>
              <w:pStyle w:val="Compact"/>
            </w:pPr>
            <w:r>
              <w:t xml:space="preserve">1.16 (0.91–1.42)</w:t>
            </w:r>
          </w:p>
        </w:tc>
        <w:tc>
          <w:tcPr/>
          <w:p>
            <w:pPr>
              <w:pStyle w:val="Compact"/>
            </w:pPr>
            <w:r>
              <w:t xml:space="preserve">−0.002 (−0.015 to +0.013)</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E LR</w:t>
            </w:r>
          </w:p>
        </w:tc>
        <w:tc>
          <w:tcPr/>
          <w:p>
            <w:pPr>
              <w:pStyle w:val="Compact"/>
            </w:pPr>
            <w:r>
              <w:t xml:space="preserve">0.658 (0.630–0.682)</w:t>
            </w:r>
          </w:p>
        </w:tc>
        <w:tc>
          <w:tcPr/>
          <w:p>
            <w:pPr>
              <w:pStyle w:val="Compact"/>
            </w:pPr>
            <w:r>
              <w:t xml:space="preserve">0.117 (0.108–0.126)</w:t>
            </w:r>
          </w:p>
        </w:tc>
        <w:tc>
          <w:tcPr/>
          <w:p>
            <w:pPr>
              <w:pStyle w:val="Compact"/>
            </w:pPr>
            <w:r>
              <w:t xml:space="preserve">1.10 (0.92–1.28)</w:t>
            </w:r>
          </w:p>
        </w:tc>
        <w:tc>
          <w:tcPr/>
          <w:p>
            <w:pPr>
              <w:pStyle w:val="Compact"/>
            </w:pPr>
            <w:r>
              <w:t xml:space="preserve">−0.005 (−0.017 to +0.008)</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F LR</w:t>
            </w:r>
          </w:p>
        </w:tc>
        <w:tc>
          <w:tcPr/>
          <w:p>
            <w:pPr>
              <w:pStyle w:val="Compact"/>
            </w:pPr>
            <w:r>
              <w:t xml:space="preserve">0.641 (0.614–0.669)</w:t>
            </w:r>
          </w:p>
        </w:tc>
        <w:tc>
          <w:tcPr/>
          <w:p>
            <w:pPr>
              <w:pStyle w:val="Compact"/>
            </w:pPr>
            <w:r>
              <w:t xml:space="preserve">0.119 (0.110–0.127)</w:t>
            </w:r>
          </w:p>
        </w:tc>
        <w:tc>
          <w:tcPr/>
          <w:p>
            <w:pPr>
              <w:pStyle w:val="Compact"/>
            </w:pPr>
            <w:r>
              <w:t xml:space="preserve">1.18 (0.95–1.43)</w:t>
            </w:r>
          </w:p>
        </w:tc>
        <w:tc>
          <w:tcPr/>
          <w:p>
            <w:pPr>
              <w:pStyle w:val="Compact"/>
            </w:pPr>
            <w:r>
              <w:t xml:space="preserve">−0.003 (−0.016 to +0.010)</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N WTD</w:t>
            </w:r>
          </w:p>
        </w:tc>
        <w:tc>
          <w:tcPr/>
          <w:p>
            <w:pPr>
              <w:pStyle w:val="Compact"/>
            </w:pPr>
            <w:r>
              <w:t xml:space="preserve">0.624 (0.595–0.651)</w:t>
            </w:r>
          </w:p>
        </w:tc>
        <w:tc>
          <w:tcPr/>
          <w:p>
            <w:pPr>
              <w:pStyle w:val="Compact"/>
            </w:pPr>
            <w:r>
              <w:t xml:space="preserve">0.119 (0.111–0.128)</w:t>
            </w:r>
          </w:p>
        </w:tc>
        <w:tc>
          <w:tcPr/>
          <w:p>
            <w:pPr>
              <w:pStyle w:val="Compact"/>
            </w:pPr>
            <w:r>
              <w:t xml:space="preserve">1.28 (1.02–1.54)</w:t>
            </w:r>
          </w:p>
        </w:tc>
        <w:tc>
          <w:tcPr/>
          <w:p>
            <w:pPr>
              <w:pStyle w:val="Compact"/>
            </w:pPr>
            <w:r>
              <w:t xml:space="preserve">+0.003 (−0.010 to +0.016)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E LR</w:t>
            </w:r>
          </w:p>
        </w:tc>
        <w:tc>
          <w:tcPr/>
          <w:p>
            <w:pPr>
              <w:pStyle w:val="Compact"/>
            </w:pPr>
            <w:r>
              <w:t xml:space="preserve">0.640 (0.593–0.681)</w:t>
            </w:r>
          </w:p>
        </w:tc>
        <w:tc>
          <w:tcPr/>
          <w:p>
            <w:pPr>
              <w:pStyle w:val="Compact"/>
            </w:pPr>
            <w:r>
              <w:t xml:space="preserve">0.173 (0.156–0.191)</w:t>
            </w:r>
          </w:p>
        </w:tc>
        <w:tc>
          <w:tcPr/>
          <w:p>
            <w:pPr>
              <w:pStyle w:val="Compact"/>
            </w:pPr>
            <w:r>
              <w:t xml:space="preserve">0.90 (0.64–1.14)</w:t>
            </w:r>
          </w:p>
        </w:tc>
        <w:tc>
          <w:tcPr/>
          <w:p>
            <w:pPr>
              <w:pStyle w:val="Compact"/>
            </w:pPr>
            <w:r>
              <w:t xml:space="preserve">−0.046 (−0.074 to −0.018)</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F LR</w:t>
            </w:r>
          </w:p>
        </w:tc>
        <w:tc>
          <w:tcPr/>
          <w:p>
            <w:pPr>
              <w:pStyle w:val="Compact"/>
            </w:pPr>
            <w:r>
              <w:t xml:space="preserve">0.607 (0.563–0.649)</w:t>
            </w:r>
          </w:p>
        </w:tc>
        <w:tc>
          <w:tcPr/>
          <w:p>
            <w:pPr>
              <w:pStyle w:val="Compact"/>
            </w:pPr>
            <w:r>
              <w:t xml:space="preserve">0.177 (0.159–0.194)</w:t>
            </w:r>
          </w:p>
        </w:tc>
        <w:tc>
          <w:tcPr/>
          <w:p>
            <w:pPr>
              <w:pStyle w:val="Compact"/>
            </w:pPr>
            <w:r>
              <w:t xml:space="preserve">0.85 (0.52–1.16)</w:t>
            </w:r>
          </w:p>
        </w:tc>
        <w:tc>
          <w:tcPr/>
          <w:p>
            <w:pPr>
              <w:pStyle w:val="Compact"/>
            </w:pPr>
            <w:r>
              <w:t xml:space="preserve">−0.049 (−0.077 to −0.021)</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N WTD</w:t>
            </w:r>
          </w:p>
        </w:tc>
        <w:tc>
          <w:tcPr/>
          <w:p>
            <w:pPr>
              <w:pStyle w:val="Compact"/>
            </w:pPr>
            <w:r>
              <w:t xml:space="preserve">0.607 (0.561–0.646)</w:t>
            </w:r>
          </w:p>
        </w:tc>
        <w:tc>
          <w:tcPr/>
          <w:p>
            <w:pPr>
              <w:pStyle w:val="Compact"/>
            </w:pPr>
            <w:r>
              <w:t xml:space="preserve">0.179 (0.161–0.197)</w:t>
            </w:r>
          </w:p>
        </w:tc>
        <w:tc>
          <w:tcPr/>
          <w:p>
            <w:pPr>
              <w:pStyle w:val="Compact"/>
            </w:pPr>
            <w:r>
              <w:t xml:space="preserve">1.07 (0.69–1.42)</w:t>
            </w:r>
          </w:p>
        </w:tc>
        <w:tc>
          <w:tcPr/>
          <w:p>
            <w:pPr>
              <w:pStyle w:val="Compact"/>
            </w:pPr>
            <w:r>
              <w:t xml:space="preserve">−0.061 (−0.089 to −0.034)</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E LR</w:t>
            </w:r>
          </w:p>
        </w:tc>
        <w:tc>
          <w:tcPr/>
          <w:p>
            <w:pPr>
              <w:pStyle w:val="Compact"/>
            </w:pPr>
            <w:r>
              <w:t xml:space="preserve">0.634 (0.609–0.661)</w:t>
            </w:r>
          </w:p>
        </w:tc>
        <w:tc>
          <w:tcPr/>
          <w:p>
            <w:pPr>
              <w:pStyle w:val="Compact"/>
            </w:pPr>
            <w:r>
              <w:t xml:space="preserve">0.145 (0.137–0.155)</w:t>
            </w:r>
          </w:p>
        </w:tc>
        <w:tc>
          <w:tcPr/>
          <w:p>
            <w:pPr>
              <w:pStyle w:val="Compact"/>
            </w:pPr>
            <w:r>
              <w:t xml:space="preserve">0.85 (0.69–1.02)</w:t>
            </w:r>
          </w:p>
        </w:tc>
        <w:tc>
          <w:tcPr/>
          <w:p>
            <w:pPr>
              <w:pStyle w:val="Compact"/>
            </w:pPr>
            <w:r>
              <w:t xml:space="preserve">+0.013 (−0.003 to +0.028)</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F LR</w:t>
            </w:r>
          </w:p>
        </w:tc>
        <w:tc>
          <w:tcPr/>
          <w:p>
            <w:pPr>
              <w:pStyle w:val="Compact"/>
            </w:pPr>
            <w:r>
              <w:t xml:space="preserve">0.598 (0.569–0.627)</w:t>
            </w:r>
          </w:p>
        </w:tc>
        <w:tc>
          <w:tcPr/>
          <w:p>
            <w:pPr>
              <w:pStyle w:val="Compact"/>
            </w:pPr>
            <w:r>
              <w:t xml:space="preserve">0.149 (0.140–0.159)</w:t>
            </w:r>
          </w:p>
        </w:tc>
        <w:tc>
          <w:tcPr/>
          <w:p>
            <w:pPr>
              <w:pStyle w:val="Compact"/>
            </w:pPr>
            <w:r>
              <w:t xml:space="preserve">0.72 (0.52–0.93)</w:t>
            </w:r>
          </w:p>
        </w:tc>
        <w:tc>
          <w:tcPr/>
          <w:p>
            <w:pPr>
              <w:pStyle w:val="Compact"/>
            </w:pPr>
            <w:r>
              <w:t xml:space="preserve">+0.016 (+0.000 to +0.031)</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N WTD</w:t>
            </w:r>
          </w:p>
        </w:tc>
        <w:tc>
          <w:tcPr/>
          <w:p>
            <w:pPr>
              <w:pStyle w:val="Compact"/>
            </w:pPr>
            <w:r>
              <w:t xml:space="preserve">0.590 (0.562–0.619)</w:t>
            </w:r>
          </w:p>
        </w:tc>
        <w:tc>
          <w:tcPr/>
          <w:p>
            <w:pPr>
              <w:pStyle w:val="Compact"/>
            </w:pPr>
            <w:r>
              <w:t xml:space="preserve">0.149 (0.139–0.159)</w:t>
            </w:r>
          </w:p>
        </w:tc>
        <w:tc>
          <w:tcPr/>
          <w:p>
            <w:pPr>
              <w:pStyle w:val="Compact"/>
            </w:pPr>
            <w:r>
              <w:t xml:space="preserve">0.85 (0.61–1.12)</w:t>
            </w:r>
          </w:p>
        </w:tc>
        <w:tc>
          <w:tcPr/>
          <w:p>
            <w:pPr>
              <w:pStyle w:val="Compact"/>
            </w:pPr>
            <w:r>
              <w:t xml:space="preserve">+0.002 (−0.014 to +0.016)</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E LR</w:t>
            </w:r>
          </w:p>
        </w:tc>
        <w:tc>
          <w:tcPr/>
          <w:p>
            <w:pPr>
              <w:pStyle w:val="Compact"/>
            </w:pPr>
            <w:r>
              <w:t xml:space="preserve">0.670 (0.650–0.690)</w:t>
            </w:r>
          </w:p>
        </w:tc>
        <w:tc>
          <w:tcPr/>
          <w:p>
            <w:pPr>
              <w:pStyle w:val="Compact"/>
            </w:pPr>
            <w:r>
              <w:t xml:space="preserve">0.129 (0.122–0.136)</w:t>
            </w:r>
          </w:p>
        </w:tc>
        <w:tc>
          <w:tcPr/>
          <w:p>
            <w:pPr>
              <w:pStyle w:val="Compact"/>
            </w:pPr>
            <w:r>
              <w:t xml:space="preserve">1.05 (0.92–1.19)</w:t>
            </w:r>
          </w:p>
        </w:tc>
        <w:tc>
          <w:tcPr/>
          <w:p>
            <w:pPr>
              <w:pStyle w:val="Compact"/>
            </w:pPr>
            <w:r>
              <w:t xml:space="preserve">−0.001 (−0.012 to +0.009)</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F LR</w:t>
            </w:r>
          </w:p>
        </w:tc>
        <w:tc>
          <w:tcPr/>
          <w:p>
            <w:pPr>
              <w:pStyle w:val="Compact"/>
            </w:pPr>
            <w:r>
              <w:t xml:space="preserve">0.644 (0.623–0.666)</w:t>
            </w:r>
          </w:p>
        </w:tc>
        <w:tc>
          <w:tcPr/>
          <w:p>
            <w:pPr>
              <w:pStyle w:val="Compact"/>
            </w:pPr>
            <w:r>
              <w:t xml:space="preserve">0.131 (0.124–0.138)</w:t>
            </w:r>
          </w:p>
        </w:tc>
        <w:tc>
          <w:tcPr/>
          <w:p>
            <w:pPr>
              <w:pStyle w:val="Compact"/>
            </w:pPr>
            <w:r>
              <w:t xml:space="preserve">1.10 (0.93–1.28)</w:t>
            </w:r>
          </w:p>
        </w:tc>
        <w:tc>
          <w:tcPr/>
          <w:p>
            <w:pPr>
              <w:pStyle w:val="Compact"/>
            </w:pPr>
            <w:r>
              <w:t xml:space="preserve">−0.002 (−0.013 to +0.008)</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N WTD</w:t>
            </w:r>
          </w:p>
        </w:tc>
        <w:tc>
          <w:tcPr/>
          <w:p>
            <w:pPr>
              <w:pStyle w:val="Compact"/>
            </w:pPr>
            <w:r>
              <w:t xml:space="preserve">0.640 (0.619–0.663)</w:t>
            </w:r>
          </w:p>
        </w:tc>
        <w:tc>
          <w:tcPr/>
          <w:p>
            <w:pPr>
              <w:pStyle w:val="Compact"/>
            </w:pPr>
            <w:r>
              <w:t xml:space="preserve">0.131 (0.125–0.138)</w:t>
            </w:r>
          </w:p>
        </w:tc>
        <w:tc>
          <w:tcPr/>
          <w:p>
            <w:pPr>
              <w:pStyle w:val="Compact"/>
            </w:pPr>
            <w:r>
              <w:t xml:space="preserve">1.31 (1.12–1.52)</w:t>
            </w:r>
          </w:p>
        </w:tc>
        <w:tc>
          <w:tcPr/>
          <w:p>
            <w:pPr>
              <w:pStyle w:val="Compact"/>
            </w:pPr>
            <w:r>
              <w:t xml:space="preserve">+0.002 (−0.009 to +0.013)</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E LR</w:t>
            </w:r>
          </w:p>
        </w:tc>
        <w:tc>
          <w:tcPr/>
          <w:p>
            <w:pPr>
              <w:pStyle w:val="Compact"/>
            </w:pPr>
            <w:r>
              <w:t xml:space="preserve">0.518 (0.364–0.673)</w:t>
            </w:r>
          </w:p>
        </w:tc>
        <w:tc>
          <w:tcPr/>
          <w:p>
            <w:pPr>
              <w:pStyle w:val="Compact"/>
            </w:pPr>
            <w:r>
              <w:t xml:space="preserve">0.171 (0.123–0.224)</w:t>
            </w:r>
          </w:p>
        </w:tc>
        <w:tc>
          <w:tcPr/>
          <w:p>
            <w:pPr>
              <w:pStyle w:val="Compact"/>
            </w:pPr>
            <w:r>
              <w:t xml:space="preserve">0.08 (−1.14 to 1.24)</w:t>
            </w:r>
          </w:p>
        </w:tc>
        <w:tc>
          <w:tcPr/>
          <w:p>
            <w:pPr>
              <w:pStyle w:val="Compact"/>
            </w:pPr>
            <w:r>
              <w:t xml:space="preserve">+0.001 (−0.088 to +0.082)</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F LR</w:t>
            </w:r>
          </w:p>
        </w:tc>
        <w:tc>
          <w:tcPr/>
          <w:p>
            <w:pPr>
              <w:pStyle w:val="Compact"/>
            </w:pPr>
            <w:r>
              <w:t xml:space="preserve">0.518 (0.357–0.687)</w:t>
            </w:r>
          </w:p>
        </w:tc>
        <w:tc>
          <w:tcPr/>
          <w:p>
            <w:pPr>
              <w:pStyle w:val="Compact"/>
            </w:pPr>
            <w:r>
              <w:t xml:space="preserve">0.169 (0.117–0.220)</w:t>
            </w:r>
          </w:p>
        </w:tc>
        <w:tc>
          <w:tcPr/>
          <w:p>
            <w:pPr>
              <w:pStyle w:val="Compact"/>
            </w:pPr>
            <w:r>
              <w:t xml:space="preserve">0.30 (−1.07 to 1.63)</w:t>
            </w:r>
          </w:p>
        </w:tc>
        <w:tc>
          <w:tcPr/>
          <w:p>
            <w:pPr>
              <w:pStyle w:val="Compact"/>
            </w:pPr>
            <w:r>
              <w:t xml:space="preserve">−0.003 (−0.090 to +0.078)</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N WTD</w:t>
            </w:r>
          </w:p>
        </w:tc>
        <w:tc>
          <w:tcPr/>
          <w:p>
            <w:pPr>
              <w:pStyle w:val="Compact"/>
            </w:pPr>
            <w:r>
              <w:t xml:space="preserve">0.581 (0.418–0.741)</w:t>
            </w:r>
          </w:p>
        </w:tc>
        <w:tc>
          <w:tcPr/>
          <w:p>
            <w:pPr>
              <w:pStyle w:val="Compact"/>
            </w:pPr>
            <w:r>
              <w:t xml:space="preserve">0.162 (0.112–0.215)</w:t>
            </w:r>
          </w:p>
        </w:tc>
        <w:tc>
          <w:tcPr/>
          <w:p>
            <w:pPr>
              <w:pStyle w:val="Compact"/>
            </w:pPr>
            <w:r>
              <w:t xml:space="preserve">0.73 (−0.74 to 2.45)</w:t>
            </w:r>
          </w:p>
        </w:tc>
        <w:tc>
          <w:tcPr/>
          <w:p>
            <w:pPr>
              <w:pStyle w:val="Compact"/>
            </w:pPr>
            <w:r>
              <w:t xml:space="preserve">−0.018 (−0.103 to +0.060)</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E LR</w:t>
            </w:r>
          </w:p>
        </w:tc>
        <w:tc>
          <w:tcPr/>
          <w:p>
            <w:pPr>
              <w:pStyle w:val="Compact"/>
            </w:pPr>
            <w:r>
              <w:t xml:space="preserve">0.654 (0.597–0.708)</w:t>
            </w:r>
          </w:p>
        </w:tc>
        <w:tc>
          <w:tcPr/>
          <w:p>
            <w:pPr>
              <w:pStyle w:val="Compact"/>
            </w:pPr>
            <w:r>
              <w:t xml:space="preserve">0.111 (0.097–0.125)</w:t>
            </w:r>
          </w:p>
        </w:tc>
        <w:tc>
          <w:tcPr/>
          <w:p>
            <w:pPr>
              <w:pStyle w:val="Compact"/>
            </w:pPr>
            <w:r>
              <w:t xml:space="preserve">1.09 (0.73–1.45)</w:t>
            </w:r>
          </w:p>
        </w:tc>
        <w:tc>
          <w:tcPr/>
          <w:p>
            <w:pPr>
              <w:pStyle w:val="Compact"/>
            </w:pPr>
            <w:r>
              <w:t xml:space="preserve">+0.022 (+0.000 to +0.043)</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F LR</w:t>
            </w:r>
          </w:p>
        </w:tc>
        <w:tc>
          <w:tcPr/>
          <w:p>
            <w:pPr>
              <w:pStyle w:val="Compact"/>
            </w:pPr>
            <w:r>
              <w:t xml:space="preserve">0.625 (0.572–0.678)</w:t>
            </w:r>
          </w:p>
        </w:tc>
        <w:tc>
          <w:tcPr/>
          <w:p>
            <w:pPr>
              <w:pStyle w:val="Compact"/>
            </w:pPr>
            <w:r>
              <w:t xml:space="preserve">0.112 (0.097–0.127)</w:t>
            </w:r>
          </w:p>
        </w:tc>
        <w:tc>
          <w:tcPr/>
          <w:p>
            <w:pPr>
              <w:pStyle w:val="Compact"/>
            </w:pPr>
            <w:r>
              <w:t xml:space="preserve">1.17 (0.76–1.61)</w:t>
            </w:r>
          </w:p>
        </w:tc>
        <w:tc>
          <w:tcPr/>
          <w:p>
            <w:pPr>
              <w:pStyle w:val="Compact"/>
            </w:pPr>
            <w:r>
              <w:t xml:space="preserve">+0.017 (−0.005 to +0.039)</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N WTD</w:t>
            </w:r>
          </w:p>
        </w:tc>
        <w:tc>
          <w:tcPr/>
          <w:p>
            <w:pPr>
              <w:pStyle w:val="Compact"/>
            </w:pPr>
            <w:r>
              <w:t xml:space="preserve">0.623 (0.565–0.678)</w:t>
            </w:r>
          </w:p>
        </w:tc>
        <w:tc>
          <w:tcPr/>
          <w:p>
            <w:pPr>
              <w:pStyle w:val="Compact"/>
            </w:pPr>
            <w:r>
              <w:t xml:space="preserve">0.113 (0.098–0.128)</w:t>
            </w:r>
          </w:p>
        </w:tc>
        <w:tc>
          <w:tcPr/>
          <w:p>
            <w:pPr>
              <w:pStyle w:val="Compact"/>
            </w:pPr>
            <w:r>
              <w:t xml:space="preserve">1.22 (0.70–1.76)</w:t>
            </w:r>
          </w:p>
        </w:tc>
        <w:tc>
          <w:tcPr/>
          <w:p>
            <w:pPr>
              <w:pStyle w:val="Compact"/>
            </w:pPr>
            <w:r>
              <w:t xml:space="preserve">+0.015 (−0.007 to +0.038)</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E LR</w:t>
            </w:r>
          </w:p>
        </w:tc>
        <w:tc>
          <w:tcPr/>
          <w:p>
            <w:pPr>
              <w:pStyle w:val="Compact"/>
            </w:pPr>
            <w:r>
              <w:t xml:space="preserve">0.667 (0.631–0.706)</w:t>
            </w:r>
          </w:p>
        </w:tc>
        <w:tc>
          <w:tcPr/>
          <w:p>
            <w:pPr>
              <w:pStyle w:val="Compact"/>
            </w:pPr>
            <w:r>
              <w:t xml:space="preserve">0.158 (0.144–0.172)</w:t>
            </w:r>
          </w:p>
        </w:tc>
        <w:tc>
          <w:tcPr/>
          <w:p>
            <w:pPr>
              <w:pStyle w:val="Compact"/>
            </w:pPr>
            <w:r>
              <w:t xml:space="preserve">1.01 (0.80–1.27)</w:t>
            </w:r>
          </w:p>
        </w:tc>
        <w:tc>
          <w:tcPr/>
          <w:p>
            <w:pPr>
              <w:pStyle w:val="Compact"/>
            </w:pPr>
            <w:r>
              <w:t xml:space="preserve">−0.009 (−0.032 to +0.014)</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F LR</w:t>
            </w:r>
          </w:p>
        </w:tc>
        <w:tc>
          <w:tcPr/>
          <w:p>
            <w:pPr>
              <w:pStyle w:val="Compact"/>
            </w:pPr>
            <w:r>
              <w:t xml:space="preserve">0.617 (0.575–0.660)</w:t>
            </w:r>
          </w:p>
        </w:tc>
        <w:tc>
          <w:tcPr/>
          <w:p>
            <w:pPr>
              <w:pStyle w:val="Compact"/>
            </w:pPr>
            <w:r>
              <w:t xml:space="preserve">0.162 (0.148–0.176)</w:t>
            </w:r>
          </w:p>
        </w:tc>
        <w:tc>
          <w:tcPr/>
          <w:p>
            <w:pPr>
              <w:pStyle w:val="Compact"/>
            </w:pPr>
            <w:r>
              <w:t xml:space="preserve">0.87 (0.61–1.15)</w:t>
            </w:r>
          </w:p>
        </w:tc>
        <w:tc>
          <w:tcPr/>
          <w:p>
            <w:pPr>
              <w:pStyle w:val="Compact"/>
            </w:pPr>
            <w:r>
              <w:t xml:space="preserve">−0.011 (−0.034 to +0.013)</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N WTD</w:t>
            </w:r>
          </w:p>
        </w:tc>
        <w:tc>
          <w:tcPr/>
          <w:p>
            <w:pPr>
              <w:pStyle w:val="Compact"/>
            </w:pPr>
            <w:r>
              <w:t xml:space="preserve">0.609 (0.569–0.649)</w:t>
            </w:r>
          </w:p>
        </w:tc>
        <w:tc>
          <w:tcPr/>
          <w:p>
            <w:pPr>
              <w:pStyle w:val="Compact"/>
            </w:pPr>
            <w:r>
              <w:t xml:space="preserve">0.163 (0.149–0.177)</w:t>
            </w:r>
          </w:p>
        </w:tc>
        <w:tc>
          <w:tcPr/>
          <w:p>
            <w:pPr>
              <w:pStyle w:val="Compact"/>
            </w:pPr>
            <w:r>
              <w:t xml:space="preserve">1.12 (0.79–1.49)</w:t>
            </w:r>
          </w:p>
        </w:tc>
        <w:tc>
          <w:tcPr/>
          <w:p>
            <w:pPr>
              <w:pStyle w:val="Compact"/>
            </w:pPr>
            <w:r>
              <w:t xml:space="preserve">−0.020 (−0.043 to +0.004)</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E LR</w:t>
            </w:r>
          </w:p>
        </w:tc>
        <w:tc>
          <w:tcPr/>
          <w:p>
            <w:pPr>
              <w:pStyle w:val="Compact"/>
            </w:pPr>
            <w:r>
              <w:t xml:space="preserve">0.663 (0.636–0.690)</w:t>
            </w:r>
          </w:p>
        </w:tc>
        <w:tc>
          <w:tcPr/>
          <w:p>
            <w:pPr>
              <w:pStyle w:val="Compact"/>
            </w:pPr>
            <w:r>
              <w:t xml:space="preserve">0.137 (0.128–0.146)</w:t>
            </w:r>
          </w:p>
        </w:tc>
        <w:tc>
          <w:tcPr/>
          <w:p>
            <w:pPr>
              <w:pStyle w:val="Compact"/>
            </w:pPr>
            <w:r>
              <w:t xml:space="preserve">0.98 (0.82–1.15)</w:t>
            </w:r>
          </w:p>
        </w:tc>
        <w:tc>
          <w:tcPr/>
          <w:p>
            <w:pPr>
              <w:pStyle w:val="Compact"/>
            </w:pPr>
            <w:r>
              <w:t xml:space="preserve">+0.003 (−0.012 to +0.017)</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F LR</w:t>
            </w:r>
          </w:p>
        </w:tc>
        <w:tc>
          <w:tcPr/>
          <w:p>
            <w:pPr>
              <w:pStyle w:val="Compact"/>
            </w:pPr>
            <w:r>
              <w:t xml:space="preserve">0.633 (0.603–0.660)</w:t>
            </w:r>
          </w:p>
        </w:tc>
        <w:tc>
          <w:tcPr/>
          <w:p>
            <w:pPr>
              <w:pStyle w:val="Compact"/>
            </w:pPr>
            <w:r>
              <w:t xml:space="preserve">0.140 (0.130–0.150)</w:t>
            </w:r>
          </w:p>
        </w:tc>
        <w:tc>
          <w:tcPr/>
          <w:p>
            <w:pPr>
              <w:pStyle w:val="Compact"/>
            </w:pPr>
            <w:r>
              <w:t xml:space="preserve">0.89 (0.69–1.10)</w:t>
            </w:r>
          </w:p>
        </w:tc>
        <w:tc>
          <w:tcPr/>
          <w:p>
            <w:pPr>
              <w:pStyle w:val="Compact"/>
            </w:pPr>
            <w:r>
              <w:t xml:space="preserve">+0.001 (−0.014 to +0.015)</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N WTD</w:t>
            </w:r>
          </w:p>
        </w:tc>
        <w:tc>
          <w:tcPr/>
          <w:p>
            <w:pPr>
              <w:pStyle w:val="Compact"/>
            </w:pPr>
            <w:r>
              <w:t xml:space="preserve">0.632 (0.603–0.659)</w:t>
            </w:r>
          </w:p>
        </w:tc>
        <w:tc>
          <w:tcPr/>
          <w:p>
            <w:pPr>
              <w:pStyle w:val="Compact"/>
            </w:pPr>
            <w:r>
              <w:t xml:space="preserve">0.139 (0.130–0.149)</w:t>
            </w:r>
          </w:p>
        </w:tc>
        <w:tc>
          <w:tcPr/>
          <w:p>
            <w:pPr>
              <w:pStyle w:val="Compact"/>
            </w:pPr>
            <w:r>
              <w:t xml:space="preserve">1.16 (0.92–1.39)</w:t>
            </w:r>
          </w:p>
        </w:tc>
        <w:tc>
          <w:tcPr/>
          <w:p>
            <w:pPr>
              <w:pStyle w:val="Compact"/>
            </w:pPr>
            <w:r>
              <w:t xml:space="preserve">−0.005 (−0.020 to +0.009)</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E LR</w:t>
            </w:r>
          </w:p>
        </w:tc>
        <w:tc>
          <w:tcPr/>
          <w:p>
            <w:pPr>
              <w:pStyle w:val="Compact"/>
            </w:pPr>
            <w:r>
              <w:t xml:space="preserve">0.646 (0.623–0.665)</w:t>
            </w:r>
          </w:p>
        </w:tc>
        <w:tc>
          <w:tcPr/>
          <w:p>
            <w:pPr>
              <w:pStyle w:val="Compact"/>
            </w:pPr>
            <w:r>
              <w:t xml:space="preserve">0.132 (0.126–0.139)</w:t>
            </w:r>
          </w:p>
        </w:tc>
        <w:tc>
          <w:tcPr/>
          <w:p>
            <w:pPr>
              <w:pStyle w:val="Compact"/>
            </w:pPr>
            <w:r>
              <w:t xml:space="preserve">0.93 (0.80–1.05)</w:t>
            </w:r>
          </w:p>
        </w:tc>
        <w:tc>
          <w:tcPr/>
          <w:p>
            <w:pPr>
              <w:pStyle w:val="Compact"/>
            </w:pPr>
            <w:r>
              <w:t xml:space="preserve">+0.001 (−0.009 to +0.011)</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F LR</w:t>
            </w:r>
          </w:p>
        </w:tc>
        <w:tc>
          <w:tcPr/>
          <w:p>
            <w:pPr>
              <w:pStyle w:val="Compact"/>
            </w:pPr>
            <w:r>
              <w:t xml:space="preserve">0.625 (0.603–0.645)</w:t>
            </w:r>
          </w:p>
        </w:tc>
        <w:tc>
          <w:tcPr/>
          <w:p>
            <w:pPr>
              <w:pStyle w:val="Compact"/>
            </w:pPr>
            <w:r>
              <w:t xml:space="preserve">0.133 (0.127–0.140)</w:t>
            </w:r>
          </w:p>
        </w:tc>
        <w:tc>
          <w:tcPr/>
          <w:p>
            <w:pPr>
              <w:pStyle w:val="Compact"/>
            </w:pPr>
            <w:r>
              <w:t xml:space="preserve">0.99 (0.82–1.13)</w:t>
            </w:r>
          </w:p>
        </w:tc>
        <w:tc>
          <w:tcPr/>
          <w:p>
            <w:pPr>
              <w:pStyle w:val="Compact"/>
            </w:pPr>
            <w:r>
              <w:t xml:space="preserve">+0.002 (−0.008 to +0.012)</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N WTD</w:t>
            </w:r>
          </w:p>
        </w:tc>
        <w:tc>
          <w:tcPr/>
          <w:p>
            <w:pPr>
              <w:pStyle w:val="Compact"/>
            </w:pPr>
            <w:r>
              <w:t xml:space="preserve">0.618 (0.596–0.638)</w:t>
            </w:r>
          </w:p>
        </w:tc>
        <w:tc>
          <w:tcPr/>
          <w:p>
            <w:pPr>
              <w:pStyle w:val="Compact"/>
            </w:pPr>
            <w:r>
              <w:t xml:space="preserve">0.134 (0.128–0.141)</w:t>
            </w:r>
          </w:p>
        </w:tc>
        <w:tc>
          <w:tcPr/>
          <w:p>
            <w:pPr>
              <w:pStyle w:val="Compact"/>
            </w:pPr>
            <w:r>
              <w:t xml:space="preserve">1.13 (0.92–1.30)</w:t>
            </w:r>
          </w:p>
        </w:tc>
        <w:tc>
          <w:tcPr/>
          <w:p>
            <w:pPr>
              <w:pStyle w:val="Compact"/>
            </w:pPr>
            <w:r>
              <w:t xml:space="preserve">+0.001 (−0.009 to +0.011)</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E LR</w:t>
            </w:r>
          </w:p>
        </w:tc>
        <w:tc>
          <w:tcPr/>
          <w:p>
            <w:pPr>
              <w:pStyle w:val="Compact"/>
            </w:pPr>
            <w:r>
              <w:t xml:space="preserve">0.695 (0.634–0.754)</w:t>
            </w:r>
          </w:p>
        </w:tc>
        <w:tc>
          <w:tcPr/>
          <w:p>
            <w:pPr>
              <w:pStyle w:val="Compact"/>
            </w:pPr>
            <w:r>
              <w:t xml:space="preserve">0.120 (0.104–0.139)</w:t>
            </w:r>
          </w:p>
        </w:tc>
        <w:tc>
          <w:tcPr/>
          <w:p>
            <w:pPr>
              <w:pStyle w:val="Compact"/>
            </w:pPr>
            <w:r>
              <w:t xml:space="preserve">1.29 (0.88–1.77)</w:t>
            </w:r>
          </w:p>
        </w:tc>
        <w:tc>
          <w:tcPr/>
          <w:p>
            <w:pPr>
              <w:pStyle w:val="Compact"/>
            </w:pPr>
            <w:r>
              <w:t xml:space="preserve">+0.009 (−0.018 to +0.034)</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F LR</w:t>
            </w:r>
          </w:p>
        </w:tc>
        <w:tc>
          <w:tcPr/>
          <w:p>
            <w:pPr>
              <w:pStyle w:val="Compact"/>
            </w:pPr>
            <w:r>
              <w:t xml:space="preserve">0.648 (0.587–0.710)</w:t>
            </w:r>
          </w:p>
        </w:tc>
        <w:tc>
          <w:tcPr/>
          <w:p>
            <w:pPr>
              <w:pStyle w:val="Compact"/>
            </w:pPr>
            <w:r>
              <w:t xml:space="preserve">0.124 (0.106–0.143)</w:t>
            </w:r>
          </w:p>
        </w:tc>
        <w:tc>
          <w:tcPr/>
          <w:p>
            <w:pPr>
              <w:pStyle w:val="Compact"/>
            </w:pPr>
            <w:r>
              <w:t xml:space="preserve">1.06 (0.63–1.54)</w:t>
            </w:r>
          </w:p>
        </w:tc>
        <w:tc>
          <w:tcPr/>
          <w:p>
            <w:pPr>
              <w:pStyle w:val="Compact"/>
            </w:pPr>
            <w:r>
              <w:t xml:space="preserve">+0.002 (−0.027 to +0.028)</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N WTD</w:t>
            </w:r>
          </w:p>
        </w:tc>
        <w:tc>
          <w:tcPr/>
          <w:p>
            <w:pPr>
              <w:pStyle w:val="Compact"/>
            </w:pPr>
            <w:r>
              <w:t xml:space="preserve">0.658 (0.598–0.713)</w:t>
            </w:r>
          </w:p>
        </w:tc>
        <w:tc>
          <w:tcPr/>
          <w:p>
            <w:pPr>
              <w:pStyle w:val="Compact"/>
            </w:pPr>
            <w:r>
              <w:t xml:space="preserve">0.124 (0.107–0.143)</w:t>
            </w:r>
          </w:p>
        </w:tc>
        <w:tc>
          <w:tcPr/>
          <w:p>
            <w:pPr>
              <w:pStyle w:val="Compact"/>
            </w:pPr>
            <w:r>
              <w:t xml:space="preserve">1.52 (0.98–2.08)</w:t>
            </w:r>
          </w:p>
        </w:tc>
        <w:tc>
          <w:tcPr/>
          <w:p>
            <w:pPr>
              <w:pStyle w:val="Compact"/>
            </w:pPr>
            <w:r>
              <w:t xml:space="preserve">+0.011 (−0.017 to +0.037)</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E LR</w:t>
            </w:r>
          </w:p>
        </w:tc>
        <w:tc>
          <w:tcPr/>
          <w:p>
            <w:pPr>
              <w:pStyle w:val="Compact"/>
            </w:pPr>
            <w:r>
              <w:t xml:space="preserve">0.615 (0.565–0.664)</w:t>
            </w:r>
          </w:p>
        </w:tc>
        <w:tc>
          <w:tcPr/>
          <w:p>
            <w:pPr>
              <w:pStyle w:val="Compact"/>
            </w:pPr>
            <w:r>
              <w:t xml:space="preserve">0.151 (0.135–0.169)</w:t>
            </w:r>
          </w:p>
        </w:tc>
        <w:tc>
          <w:tcPr/>
          <w:p>
            <w:pPr>
              <w:pStyle w:val="Compact"/>
            </w:pPr>
            <w:r>
              <w:t xml:space="preserve">0.72 (0.42–1.04)</w:t>
            </w:r>
          </w:p>
        </w:tc>
        <w:tc>
          <w:tcPr/>
          <w:p>
            <w:pPr>
              <w:pStyle w:val="Compact"/>
            </w:pPr>
            <w:r>
              <w:t xml:space="preserve">−0.013 (−0.041 to +0.013)</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F LR</w:t>
            </w:r>
          </w:p>
        </w:tc>
        <w:tc>
          <w:tcPr/>
          <w:p>
            <w:pPr>
              <w:pStyle w:val="Compact"/>
            </w:pPr>
            <w:r>
              <w:t xml:space="preserve">0.589 (0.537–0.642)</w:t>
            </w:r>
          </w:p>
        </w:tc>
        <w:tc>
          <w:tcPr/>
          <w:p>
            <w:pPr>
              <w:pStyle w:val="Compact"/>
            </w:pPr>
            <w:r>
              <w:t xml:space="preserve">0.153 (0.136–0.170)</w:t>
            </w:r>
          </w:p>
        </w:tc>
        <w:tc>
          <w:tcPr/>
          <w:p>
            <w:pPr>
              <w:pStyle w:val="Compact"/>
            </w:pPr>
            <w:r>
              <w:t xml:space="preserve">0.66 (0.30–1.00)</w:t>
            </w:r>
          </w:p>
        </w:tc>
        <w:tc>
          <w:tcPr/>
          <w:p>
            <w:pPr>
              <w:pStyle w:val="Compact"/>
            </w:pPr>
            <w:r>
              <w:t xml:space="preserve">−0.010 (−0.038 to +0.016)</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N WTD</w:t>
            </w:r>
          </w:p>
        </w:tc>
        <w:tc>
          <w:tcPr/>
          <w:p>
            <w:pPr>
              <w:pStyle w:val="Compact"/>
            </w:pPr>
            <w:r>
              <w:t xml:space="preserve">0.594 (0.543–0.643)</w:t>
            </w:r>
          </w:p>
        </w:tc>
        <w:tc>
          <w:tcPr/>
          <w:p>
            <w:pPr>
              <w:pStyle w:val="Compact"/>
            </w:pPr>
            <w:r>
              <w:t xml:space="preserve">0.151 (0.135–0.168)</w:t>
            </w:r>
          </w:p>
        </w:tc>
        <w:tc>
          <w:tcPr/>
          <w:p>
            <w:pPr>
              <w:pStyle w:val="Compact"/>
            </w:pPr>
            <w:r>
              <w:t xml:space="preserve">0.93 (0.49–1.40)</w:t>
            </w:r>
          </w:p>
        </w:tc>
        <w:tc>
          <w:tcPr/>
          <w:p>
            <w:pPr>
              <w:pStyle w:val="Compact"/>
            </w:pPr>
            <w:r>
              <w:t xml:space="preserve">−0.014 (−0.042 to +0.012)</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E LR</w:t>
            </w:r>
          </w:p>
        </w:tc>
        <w:tc>
          <w:tcPr/>
          <w:p>
            <w:pPr>
              <w:pStyle w:val="Compact"/>
            </w:pPr>
            <w:r>
              <w:t xml:space="preserve">0.665 (0.644–0.685)</w:t>
            </w:r>
          </w:p>
        </w:tc>
        <w:tc>
          <w:tcPr/>
          <w:p>
            <w:pPr>
              <w:pStyle w:val="Compact"/>
            </w:pPr>
            <w:r>
              <w:t xml:space="preserve">0.134 (0.127–0.140)</w:t>
            </w:r>
          </w:p>
        </w:tc>
        <w:tc>
          <w:tcPr/>
          <w:p>
            <w:pPr>
              <w:pStyle w:val="Compact"/>
            </w:pPr>
            <w:r>
              <w:t xml:space="preserve">1.00 (0.87–1.13)</w:t>
            </w:r>
          </w:p>
        </w:tc>
        <w:tc>
          <w:tcPr/>
          <w:p>
            <w:pPr>
              <w:pStyle w:val="Compact"/>
            </w:pPr>
            <w:r>
              <w:t xml:space="preserve">+0.003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F LR</w:t>
            </w:r>
          </w:p>
        </w:tc>
        <w:tc>
          <w:tcPr/>
          <w:p>
            <w:pPr>
              <w:pStyle w:val="Compact"/>
            </w:pPr>
            <w:r>
              <w:t xml:space="preserve">0.642 (0.620–0.662)</w:t>
            </w:r>
          </w:p>
        </w:tc>
        <w:tc>
          <w:tcPr/>
          <w:p>
            <w:pPr>
              <w:pStyle w:val="Compact"/>
            </w:pPr>
            <w:r>
              <w:t xml:space="preserve">0.135 (0.128–0.142)</w:t>
            </w:r>
          </w:p>
        </w:tc>
        <w:tc>
          <w:tcPr/>
          <w:p>
            <w:pPr>
              <w:pStyle w:val="Compact"/>
            </w:pPr>
            <w:r>
              <w:t xml:space="preserve">1.05 (0.88–1.19)</w:t>
            </w:r>
          </w:p>
        </w:tc>
        <w:tc>
          <w:tcPr/>
          <w:p>
            <w:pPr>
              <w:pStyle w:val="Compact"/>
            </w:pPr>
            <w:r>
              <w:t xml:space="preserve">+0.002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N WTD</w:t>
            </w:r>
          </w:p>
        </w:tc>
        <w:tc>
          <w:tcPr/>
          <w:p>
            <w:pPr>
              <w:pStyle w:val="Compact"/>
            </w:pPr>
            <w:r>
              <w:t xml:space="preserve">0.632 (0.609–0.653)</w:t>
            </w:r>
          </w:p>
        </w:tc>
        <w:tc>
          <w:tcPr/>
          <w:p>
            <w:pPr>
              <w:pStyle w:val="Compact"/>
            </w:pPr>
            <w:r>
              <w:t xml:space="preserve">0.136 (0.130–0.143)</w:t>
            </w:r>
          </w:p>
        </w:tc>
        <w:tc>
          <w:tcPr/>
          <w:p>
            <w:pPr>
              <w:pStyle w:val="Compact"/>
            </w:pPr>
            <w:r>
              <w:t xml:space="preserve">1.19 (0.99–1.40)</w:t>
            </w:r>
          </w:p>
        </w:tc>
        <w:tc>
          <w:tcPr/>
          <w:p>
            <w:pPr>
              <w:pStyle w:val="Compact"/>
            </w:pPr>
            <w:r>
              <w:t xml:space="preserve">−0.003 (−0.012 to +0.007)</w:t>
            </w:r>
          </w:p>
        </w:tc>
      </w:tr>
    </w:tbl>
    <w:p>
      <w:pPr>
        <w:pStyle w:val="FirstParagraph"/>
      </w:pPr>
      <w:r>
        <w:t xml:space="preserve">E LR: embedded logistic regression; F LR: feature-vector logistic regression; N WTD: logistic-regression-weighted nearest-neighbor prediction (k = 295). Events denotes positive TRD proxy outcomes. Mean risk difference is mean predicted probability minus observed frequency.</w:t>
      </w:r>
    </w:p>
    <w:bookmarkEnd w:id="167"/>
    <w:bookmarkStart w:id="168" w:name="_39e8724432b3da1e325cf9b8494b081dd979d8e"/>
    <w:p>
      <w:pPr>
        <w:pStyle w:val="Heading2"/>
      </w:pPr>
      <w:r>
        <w:t xml:space="preserve">S9.3 Clinical strata</w:t>
      </w:r>
    </w:p>
    <w:p>
      <w:pPr>
        <w:pStyle w:val="FirstParagraph"/>
      </w:pPr>
      <w:r>
        <w:t xml:space="preserve">Table S11. Discrimination and calibration by recorded depression phenotype, one representative model per arm.</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E LR</w:t>
            </w:r>
          </w:p>
        </w:tc>
        <w:tc>
          <w:tcPr/>
          <w:p>
            <w:pPr>
              <w:pStyle w:val="Compact"/>
            </w:pPr>
            <w:r>
              <w:t xml:space="preserve">0.683 (0.624–0.742)</w:t>
            </w:r>
          </w:p>
        </w:tc>
        <w:tc>
          <w:tcPr/>
          <w:p>
            <w:pPr>
              <w:pStyle w:val="Compact"/>
            </w:pPr>
            <w:r>
              <w:t xml:space="preserve">0.130 (0.111–0.149)</w:t>
            </w:r>
          </w:p>
        </w:tc>
        <w:tc>
          <w:tcPr/>
          <w:p>
            <w:pPr>
              <w:pStyle w:val="Compact"/>
            </w:pPr>
            <w:r>
              <w:t xml:space="preserve">1.39 (0.96–1.88)</w:t>
            </w:r>
          </w:p>
        </w:tc>
        <w:tc>
          <w:tcPr/>
          <w:p>
            <w:pPr>
              <w:pStyle w:val="Compact"/>
            </w:pPr>
            <w:r>
              <w:t xml:space="preserve">−0.020 (−0.049 to +0.007)</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F LR</w:t>
            </w:r>
          </w:p>
        </w:tc>
        <w:tc>
          <w:tcPr/>
          <w:p>
            <w:pPr>
              <w:pStyle w:val="Compact"/>
            </w:pPr>
            <w:r>
              <w:t xml:space="preserve">0.607 (0.547–0.667)</w:t>
            </w:r>
          </w:p>
        </w:tc>
        <w:tc>
          <w:tcPr/>
          <w:p>
            <w:pPr>
              <w:pStyle w:val="Compact"/>
            </w:pPr>
            <w:r>
              <w:t xml:space="preserve">0.135 (0.117–0.154)</w:t>
            </w:r>
          </w:p>
        </w:tc>
        <w:tc>
          <w:tcPr/>
          <w:p>
            <w:pPr>
              <w:pStyle w:val="Compact"/>
            </w:pPr>
            <w:r>
              <w:t xml:space="preserve">0.86 (0.30–1.40)</w:t>
            </w:r>
          </w:p>
        </w:tc>
        <w:tc>
          <w:tcPr/>
          <w:p>
            <w:pPr>
              <w:pStyle w:val="Compact"/>
            </w:pPr>
            <w:r>
              <w:t xml:space="preserve">−0.018 (−0.047 to +0.010)</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N WTD</w:t>
            </w:r>
          </w:p>
        </w:tc>
        <w:tc>
          <w:tcPr/>
          <w:p>
            <w:pPr>
              <w:pStyle w:val="Compact"/>
            </w:pPr>
            <w:r>
              <w:t xml:space="preserve">0.607 (0.547–0.668)</w:t>
            </w:r>
          </w:p>
        </w:tc>
        <w:tc>
          <w:tcPr/>
          <w:p>
            <w:pPr>
              <w:pStyle w:val="Compact"/>
            </w:pPr>
            <w:r>
              <w:t xml:space="preserve">0.137 (0.117–0.157)</w:t>
            </w:r>
          </w:p>
        </w:tc>
        <w:tc>
          <w:tcPr/>
          <w:p>
            <w:pPr>
              <w:pStyle w:val="Compact"/>
            </w:pPr>
            <w:r>
              <w:t xml:space="preserve">1.30 (0.54–2.12)</w:t>
            </w:r>
          </w:p>
        </w:tc>
        <w:tc>
          <w:tcPr/>
          <w:p>
            <w:pPr>
              <w:pStyle w:val="Compact"/>
            </w:pPr>
            <w:r>
              <w:t xml:space="preserve">−0.020 (−0.049 to +0.008)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E LR</w:t>
            </w:r>
          </w:p>
        </w:tc>
        <w:tc>
          <w:tcPr/>
          <w:p>
            <w:pPr>
              <w:pStyle w:val="Compact"/>
            </w:pPr>
            <w:r>
              <w:t xml:space="preserve">0.652 (0.618–0.687)</w:t>
            </w:r>
          </w:p>
        </w:tc>
        <w:tc>
          <w:tcPr/>
          <w:p>
            <w:pPr>
              <w:pStyle w:val="Compact"/>
            </w:pPr>
            <w:r>
              <w:t xml:space="preserve">0.142 (0.131–0.155)</w:t>
            </w:r>
          </w:p>
        </w:tc>
        <w:tc>
          <w:tcPr/>
          <w:p>
            <w:pPr>
              <w:pStyle w:val="Compact"/>
            </w:pPr>
            <w:r>
              <w:t xml:space="preserve">0.98 (0.74–1.24)</w:t>
            </w:r>
          </w:p>
        </w:tc>
        <w:tc>
          <w:tcPr/>
          <w:p>
            <w:pPr>
              <w:pStyle w:val="Compact"/>
            </w:pPr>
            <w:r>
              <w:t xml:space="preserve">+0.003 (−0.018 to +0.021)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F LR</w:t>
            </w:r>
          </w:p>
        </w:tc>
        <w:tc>
          <w:tcPr/>
          <w:p>
            <w:pPr>
              <w:pStyle w:val="Compact"/>
            </w:pPr>
            <w:r>
              <w:t xml:space="preserve">0.634 (0.599–0.670)</w:t>
            </w:r>
          </w:p>
        </w:tc>
        <w:tc>
          <w:tcPr/>
          <w:p>
            <w:pPr>
              <w:pStyle w:val="Compact"/>
            </w:pPr>
            <w:r>
              <w:t xml:space="preserve">0.142 (0.131–0.155)</w:t>
            </w:r>
          </w:p>
        </w:tc>
        <w:tc>
          <w:tcPr/>
          <w:p>
            <w:pPr>
              <w:pStyle w:val="Compact"/>
            </w:pPr>
            <w:r>
              <w:t xml:space="preserve">1.06 (0.75–1.38)</w:t>
            </w:r>
          </w:p>
        </w:tc>
        <w:tc>
          <w:tcPr/>
          <w:p>
            <w:pPr>
              <w:pStyle w:val="Compact"/>
            </w:pPr>
            <w:r>
              <w:t xml:space="preserve">+0.001 (−0.020 to +0.018)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N WTD</w:t>
            </w:r>
          </w:p>
        </w:tc>
        <w:tc>
          <w:tcPr/>
          <w:p>
            <w:pPr>
              <w:pStyle w:val="Compact"/>
            </w:pPr>
            <w:r>
              <w:t xml:space="preserve">0.631 (0.593–0.666)</w:t>
            </w:r>
          </w:p>
        </w:tc>
        <w:tc>
          <w:tcPr/>
          <w:p>
            <w:pPr>
              <w:pStyle w:val="Compact"/>
            </w:pPr>
            <w:r>
              <w:t xml:space="preserve">0.143 (0.132–0.157)</w:t>
            </w:r>
          </w:p>
        </w:tc>
        <w:tc>
          <w:tcPr/>
          <w:p>
            <w:pPr>
              <w:pStyle w:val="Compact"/>
            </w:pPr>
            <w:r>
              <w:t xml:space="preserve">1.58 (1.10–2.09)</w:t>
            </w:r>
          </w:p>
        </w:tc>
        <w:tc>
          <w:tcPr/>
          <w:p>
            <w:pPr>
              <w:pStyle w:val="Compact"/>
            </w:pPr>
            <w:r>
              <w:t xml:space="preserve">−0.005 (−0.026 to +0.013)</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E LR</w:t>
            </w:r>
          </w:p>
        </w:tc>
        <w:tc>
          <w:tcPr/>
          <w:p>
            <w:pPr>
              <w:pStyle w:val="Compact"/>
            </w:pPr>
            <w:r>
              <w:t xml:space="preserve">0.700 (0.648–0.749)</w:t>
            </w:r>
          </w:p>
        </w:tc>
        <w:tc>
          <w:tcPr/>
          <w:p>
            <w:pPr>
              <w:pStyle w:val="Compact"/>
            </w:pPr>
            <w:r>
              <w:t xml:space="preserve">0.187 (0.171–0.201)</w:t>
            </w:r>
          </w:p>
        </w:tc>
        <w:tc>
          <w:tcPr/>
          <w:p>
            <w:pPr>
              <w:pStyle w:val="Compact"/>
            </w:pPr>
            <w:r>
              <w:t xml:space="preserve">1.21 (0.88–1.56)</w:t>
            </w:r>
          </w:p>
        </w:tc>
        <w:tc>
          <w:tcPr/>
          <w:p>
            <w:pPr>
              <w:pStyle w:val="Compact"/>
            </w:pPr>
            <w:r>
              <w:t xml:space="preserve">+0.029 (−0.007 to +0.070)</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F LR</w:t>
            </w:r>
          </w:p>
        </w:tc>
        <w:tc>
          <w:tcPr/>
          <w:p>
            <w:pPr>
              <w:pStyle w:val="Compact"/>
            </w:pPr>
            <w:r>
              <w:t xml:space="preserve">0.636 (0.578–0.690)</w:t>
            </w:r>
          </w:p>
        </w:tc>
        <w:tc>
          <w:tcPr/>
          <w:p>
            <w:pPr>
              <w:pStyle w:val="Compact"/>
            </w:pPr>
            <w:r>
              <w:t xml:space="preserve">0.197 (0.181–0.212)</w:t>
            </w:r>
          </w:p>
        </w:tc>
        <w:tc>
          <w:tcPr/>
          <w:p>
            <w:pPr>
              <w:pStyle w:val="Compact"/>
            </w:pPr>
            <w:r>
              <w:t xml:space="preserve">0.88 (0.54–1.25)</w:t>
            </w:r>
          </w:p>
        </w:tc>
        <w:tc>
          <w:tcPr/>
          <w:p>
            <w:pPr>
              <w:pStyle w:val="Compact"/>
            </w:pPr>
            <w:r>
              <w:t xml:space="preserve">+0.029 (−0.008 to +0.071)</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N WTD</w:t>
            </w:r>
          </w:p>
        </w:tc>
        <w:tc>
          <w:tcPr/>
          <w:p>
            <w:pPr>
              <w:pStyle w:val="Compact"/>
            </w:pPr>
            <w:r>
              <w:t xml:space="preserve">0.678 (0.622–0.730)</w:t>
            </w:r>
          </w:p>
        </w:tc>
        <w:tc>
          <w:tcPr/>
          <w:p>
            <w:pPr>
              <w:pStyle w:val="Compact"/>
            </w:pPr>
            <w:r>
              <w:t xml:space="preserve">0.193 (0.178–0.208)</w:t>
            </w:r>
          </w:p>
        </w:tc>
        <w:tc>
          <w:tcPr/>
          <w:p>
            <w:pPr>
              <w:pStyle w:val="Compact"/>
            </w:pPr>
            <w:r>
              <w:t xml:space="preserve">1.86 (1.27–2.50)</w:t>
            </w:r>
          </w:p>
        </w:tc>
        <w:tc>
          <w:tcPr/>
          <w:p>
            <w:pPr>
              <w:pStyle w:val="Compact"/>
            </w:pPr>
            <w:r>
              <w:t xml:space="preserve">+0.014 (−0.021 to +0.055)</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E LR</w:t>
            </w:r>
          </w:p>
        </w:tc>
        <w:tc>
          <w:tcPr/>
          <w:p>
            <w:pPr>
              <w:pStyle w:val="Compact"/>
            </w:pPr>
            <w:r>
              <w:t xml:space="preserve">0.641 (0.621–0.660)</w:t>
            </w:r>
          </w:p>
        </w:tc>
        <w:tc>
          <w:tcPr/>
          <w:p>
            <w:pPr>
              <w:pStyle w:val="Compact"/>
            </w:pPr>
            <w:r>
              <w:t xml:space="preserve">0.133 (0.127–0.139)</w:t>
            </w:r>
          </w:p>
        </w:tc>
        <w:tc>
          <w:tcPr/>
          <w:p>
            <w:pPr>
              <w:pStyle w:val="Compact"/>
            </w:pPr>
            <w:r>
              <w:t xml:space="preserve">0.94 (0.81–1.07)</w:t>
            </w:r>
          </w:p>
        </w:tc>
        <w:tc>
          <w:tcPr/>
          <w:p>
            <w:pPr>
              <w:pStyle w:val="Compact"/>
            </w:pPr>
            <w:r>
              <w:t xml:space="preserve">−0.000 (−0.010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F LR</w:t>
            </w:r>
          </w:p>
        </w:tc>
        <w:tc>
          <w:tcPr/>
          <w:p>
            <w:pPr>
              <w:pStyle w:val="Compact"/>
            </w:pPr>
            <w:r>
              <w:t xml:space="preserve">0.615 (0.595–0.634)</w:t>
            </w:r>
          </w:p>
        </w:tc>
        <w:tc>
          <w:tcPr/>
          <w:p>
            <w:pPr>
              <w:pStyle w:val="Compact"/>
            </w:pPr>
            <w:r>
              <w:t xml:space="preserve">0.134 (0.128–0.141)</w:t>
            </w:r>
          </w:p>
        </w:tc>
        <w:tc>
          <w:tcPr/>
          <w:p>
            <w:pPr>
              <w:pStyle w:val="Compact"/>
            </w:pPr>
            <w:r>
              <w:t xml:space="preserve">0.98 (0.83–1.15)</w:t>
            </w:r>
          </w:p>
        </w:tc>
        <w:tc>
          <w:tcPr/>
          <w:p>
            <w:pPr>
              <w:pStyle w:val="Compact"/>
            </w:pPr>
            <w:r>
              <w:t xml:space="preserve">−0.001 (−0.011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N WTD</w:t>
            </w:r>
          </w:p>
        </w:tc>
        <w:tc>
          <w:tcPr/>
          <w:p>
            <w:pPr>
              <w:pStyle w:val="Compact"/>
            </w:pPr>
            <w:r>
              <w:t xml:space="preserve">0.609 (0.590–0.628)</w:t>
            </w:r>
          </w:p>
        </w:tc>
        <w:tc>
          <w:tcPr/>
          <w:p>
            <w:pPr>
              <w:pStyle w:val="Compact"/>
            </w:pPr>
            <w:r>
              <w:t xml:space="preserve">0.135 (0.129–0.142)</w:t>
            </w:r>
          </w:p>
        </w:tc>
        <w:tc>
          <w:tcPr/>
          <w:p>
            <w:pPr>
              <w:pStyle w:val="Compact"/>
            </w:pPr>
            <w:r>
              <w:t xml:space="preserve">1.14 (0.94–1.35)</w:t>
            </w:r>
          </w:p>
        </w:tc>
        <w:tc>
          <w:tcPr/>
          <w:p>
            <w:pPr>
              <w:pStyle w:val="Compact"/>
            </w:pPr>
            <w:r>
              <w:t xml:space="preserve">−0.003 (−0.013 to +0.006)</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F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E LR</w:t>
            </w:r>
          </w:p>
        </w:tc>
        <w:tc>
          <w:tcPr/>
          <w:p>
            <w:pPr>
              <w:pStyle w:val="Compact"/>
            </w:pPr>
            <w:r>
              <w:t xml:space="preserve">0.690 (0.638–0.748)</w:t>
            </w:r>
          </w:p>
        </w:tc>
        <w:tc>
          <w:tcPr/>
          <w:p>
            <w:pPr>
              <w:pStyle w:val="Compact"/>
            </w:pPr>
            <w:r>
              <w:t xml:space="preserve">0.130 (0.113–0.149)</w:t>
            </w:r>
          </w:p>
        </w:tc>
        <w:tc>
          <w:tcPr/>
          <w:p>
            <w:pPr>
              <w:pStyle w:val="Compact"/>
            </w:pPr>
            <w:r>
              <w:t xml:space="preserve">1.33 (0.92–1.86)</w:t>
            </w:r>
          </w:p>
        </w:tc>
        <w:tc>
          <w:tcPr/>
          <w:p>
            <w:pPr>
              <w:pStyle w:val="Compact"/>
            </w:pPr>
            <w:r>
              <w:t xml:space="preserve">+0.008 (−0.022 to +0.037)</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F LR</w:t>
            </w:r>
          </w:p>
        </w:tc>
        <w:tc>
          <w:tcPr/>
          <w:p>
            <w:pPr>
              <w:pStyle w:val="Compact"/>
            </w:pPr>
            <w:r>
              <w:t xml:space="preserve">0.627 (0.565–0.687)</w:t>
            </w:r>
          </w:p>
        </w:tc>
        <w:tc>
          <w:tcPr/>
          <w:p>
            <w:pPr>
              <w:pStyle w:val="Compact"/>
            </w:pPr>
            <w:r>
              <w:t xml:space="preserve">0.134 (0.116–0.153)</w:t>
            </w:r>
          </w:p>
        </w:tc>
        <w:tc>
          <w:tcPr/>
          <w:p>
            <w:pPr>
              <w:pStyle w:val="Compact"/>
            </w:pPr>
            <w:r>
              <w:t xml:space="preserve">1.13 (0.59–1.75)</w:t>
            </w:r>
          </w:p>
        </w:tc>
        <w:tc>
          <w:tcPr/>
          <w:p>
            <w:pPr>
              <w:pStyle w:val="Compact"/>
            </w:pPr>
            <w:r>
              <w:t xml:space="preserve">+0.010 (−0.020 to +0.038)</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N WTD</w:t>
            </w:r>
          </w:p>
        </w:tc>
        <w:tc>
          <w:tcPr/>
          <w:p>
            <w:pPr>
              <w:pStyle w:val="Compact"/>
            </w:pPr>
            <w:r>
              <w:t xml:space="preserve">0.628 (0.567–0.688)</w:t>
            </w:r>
          </w:p>
        </w:tc>
        <w:tc>
          <w:tcPr/>
          <w:p>
            <w:pPr>
              <w:pStyle w:val="Compact"/>
            </w:pPr>
            <w:r>
              <w:t xml:space="preserve">0.135 (0.116–0.156)</w:t>
            </w:r>
          </w:p>
        </w:tc>
        <w:tc>
          <w:tcPr/>
          <w:p>
            <w:pPr>
              <w:pStyle w:val="Compact"/>
            </w:pPr>
            <w:r>
              <w:t xml:space="preserve">2.22 (1.18–3.50)</w:t>
            </w:r>
          </w:p>
        </w:tc>
        <w:tc>
          <w:tcPr/>
          <w:p>
            <w:pPr>
              <w:pStyle w:val="Compact"/>
            </w:pPr>
            <w:r>
              <w:t xml:space="preserve">+0.003 (−0.028 to +0.032)</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E LR</w:t>
            </w:r>
          </w:p>
        </w:tc>
        <w:tc>
          <w:tcPr/>
          <w:p>
            <w:pPr>
              <w:pStyle w:val="Compact"/>
            </w:pPr>
            <w:r>
              <w:t xml:space="preserve">0.698 (0.671–0.726)</w:t>
            </w:r>
          </w:p>
        </w:tc>
        <w:tc>
          <w:tcPr/>
          <w:p>
            <w:pPr>
              <w:pStyle w:val="Compact"/>
            </w:pPr>
            <w:r>
              <w:t xml:space="preserve">0.146 (0.136–0.156)</w:t>
            </w:r>
          </w:p>
        </w:tc>
        <w:tc>
          <w:tcPr/>
          <w:p>
            <w:pPr>
              <w:pStyle w:val="Compact"/>
            </w:pPr>
            <w:r>
              <w:t xml:space="preserve">1.09 (0.94–1.26)</w:t>
            </w:r>
          </w:p>
        </w:tc>
        <w:tc>
          <w:tcPr/>
          <w:p>
            <w:pPr>
              <w:pStyle w:val="Compact"/>
            </w:pPr>
            <w:r>
              <w:t xml:space="preserve">−0.000 (−0.017 to +0.015)</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F LR</w:t>
            </w:r>
          </w:p>
        </w:tc>
        <w:tc>
          <w:tcPr/>
          <w:p>
            <w:pPr>
              <w:pStyle w:val="Compact"/>
            </w:pPr>
            <w:r>
              <w:t xml:space="preserve">0.676 (0.648–0.703)</w:t>
            </w:r>
          </w:p>
        </w:tc>
        <w:tc>
          <w:tcPr/>
          <w:p>
            <w:pPr>
              <w:pStyle w:val="Compact"/>
            </w:pPr>
            <w:r>
              <w:t xml:space="preserve">0.148 (0.139–0.158)</w:t>
            </w:r>
          </w:p>
        </w:tc>
        <w:tc>
          <w:tcPr/>
          <w:p>
            <w:pPr>
              <w:pStyle w:val="Compact"/>
            </w:pPr>
            <w:r>
              <w:t xml:space="preserve">1.07 (0.90–1.26)</w:t>
            </w:r>
          </w:p>
        </w:tc>
        <w:tc>
          <w:tcPr/>
          <w:p>
            <w:pPr>
              <w:pStyle w:val="Compact"/>
            </w:pPr>
            <w:r>
              <w:t xml:space="preserve">−0.002 (−0.018 to +0.014)</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N WTD</w:t>
            </w:r>
          </w:p>
        </w:tc>
        <w:tc>
          <w:tcPr/>
          <w:p>
            <w:pPr>
              <w:pStyle w:val="Compact"/>
            </w:pPr>
            <w:r>
              <w:t xml:space="preserve">0.666 (0.639–0.693)</w:t>
            </w:r>
          </w:p>
        </w:tc>
        <w:tc>
          <w:tcPr/>
          <w:p>
            <w:pPr>
              <w:pStyle w:val="Compact"/>
            </w:pPr>
            <w:r>
              <w:t xml:space="preserve">0.150 (0.140–0.160)</w:t>
            </w:r>
          </w:p>
        </w:tc>
        <w:tc>
          <w:tcPr/>
          <w:p>
            <w:pPr>
              <w:pStyle w:val="Compact"/>
            </w:pPr>
            <w:r>
              <w:t xml:space="preserve">1.26 (1.07–1.48)</w:t>
            </w:r>
          </w:p>
        </w:tc>
        <w:tc>
          <w:tcPr/>
          <w:p>
            <w:pPr>
              <w:pStyle w:val="Compact"/>
            </w:pPr>
            <w:r>
              <w:t xml:space="preserve">−0.005 (−0.021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E LR</w:t>
            </w:r>
          </w:p>
        </w:tc>
        <w:tc>
          <w:tcPr/>
          <w:p>
            <w:pPr>
              <w:pStyle w:val="Compact"/>
            </w:pPr>
            <w:r>
              <w:t xml:space="preserve">0.633 (0.612–0.652)</w:t>
            </w:r>
          </w:p>
        </w:tc>
        <w:tc>
          <w:tcPr/>
          <w:p>
            <w:pPr>
              <w:pStyle w:val="Compact"/>
            </w:pPr>
            <w:r>
              <w:t xml:space="preserve">0.134 (0.128–0.141)</w:t>
            </w:r>
          </w:p>
        </w:tc>
        <w:tc>
          <w:tcPr/>
          <w:p>
            <w:pPr>
              <w:pStyle w:val="Compact"/>
            </w:pPr>
            <w:r>
              <w:t xml:space="preserve">0.86 (0.73–0.99)</w:t>
            </w:r>
          </w:p>
        </w:tc>
        <w:tc>
          <w:tcPr/>
          <w:p>
            <w:pPr>
              <w:pStyle w:val="Compact"/>
            </w:pPr>
            <w:r>
              <w:t xml:space="preserve">+0.000 (−0.010 to +0.010)</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F LR</w:t>
            </w:r>
          </w:p>
        </w:tc>
        <w:tc>
          <w:tcPr/>
          <w:p>
            <w:pPr>
              <w:pStyle w:val="Compact"/>
            </w:pPr>
            <w:r>
              <w:t xml:space="preserve">0.605 (0.584–0.626)</w:t>
            </w:r>
          </w:p>
        </w:tc>
        <w:tc>
          <w:tcPr/>
          <w:p>
            <w:pPr>
              <w:pStyle w:val="Compact"/>
            </w:pPr>
            <w:r>
              <w:t xml:space="preserve">0.136 (0.130–0.143)</w:t>
            </w:r>
          </w:p>
        </w:tc>
        <w:tc>
          <w:tcPr/>
          <w:p>
            <w:pPr>
              <w:pStyle w:val="Compact"/>
            </w:pPr>
            <w:r>
              <w:t xml:space="preserve">0.83 (0.67–0.99)</w:t>
            </w:r>
          </w:p>
        </w:tc>
        <w:tc>
          <w:tcPr/>
          <w:p>
            <w:pPr>
              <w:pStyle w:val="Compact"/>
            </w:pPr>
            <w:r>
              <w:t xml:space="preserve">−0.000 (−0.011 to +0.009)</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N WTD</w:t>
            </w:r>
          </w:p>
        </w:tc>
        <w:tc>
          <w:tcPr/>
          <w:p>
            <w:pPr>
              <w:pStyle w:val="Compact"/>
            </w:pPr>
            <w:r>
              <w:t xml:space="preserve">0.603 (0.584–0.623)</w:t>
            </w:r>
          </w:p>
        </w:tc>
        <w:tc>
          <w:tcPr/>
          <w:p>
            <w:pPr>
              <w:pStyle w:val="Compact"/>
            </w:pPr>
            <w:r>
              <w:t xml:space="preserve">0.136 (0.130–0.143)</w:t>
            </w:r>
          </w:p>
        </w:tc>
        <w:tc>
          <w:tcPr/>
          <w:p>
            <w:pPr>
              <w:pStyle w:val="Compact"/>
            </w:pPr>
            <w:r>
              <w:t xml:space="preserve">1.03 (0.83–1.22)</w:t>
            </w:r>
          </w:p>
        </w:tc>
        <w:tc>
          <w:tcPr/>
          <w:p>
            <w:pPr>
              <w:pStyle w:val="Compact"/>
            </w:pPr>
            <w:r>
              <w:t xml:space="preserve">−0.004 (−0.014 to +0.006)</w:t>
            </w:r>
          </w:p>
        </w:tc>
      </w:tr>
    </w:tbl>
    <w:p>
      <w:pPr>
        <w:pStyle w:val="FirstParagraph"/>
      </w:pPr>
      <w:r>
        <w:t xml:space="preserve">E LR: embedded logistic regression; F LR: feature-vector logistic regression; N WTD: logistic-regression-weighted nearest-neighbor prediction (k = 295). Events denotes positive TRD proxy outcomes. Mean risk difference is mean predicted probability minus observed frequency. MDD recurrence: Unspecified is the 32 test patients with no recurrence code recorded; every one of them is also coded Unspecified severity.</w:t>
      </w:r>
    </w:p>
    <w:bookmarkEnd w:id="168"/>
    <w:bookmarkStart w:id="172" w:name="_aa5878e662582edeb6724e193a7afb1567e98b0"/>
    <w:p>
      <w:pPr>
        <w:pStyle w:val="Heading2"/>
      </w:pPr>
      <w:r>
        <w:t xml:space="preserve">S9.4 Adjusted Subgroup Comparisons</w:t>
      </w:r>
    </w:p>
    <w:p>
      <w:pPr>
        <w:pStyle w:val="FirstParagraph"/>
      </w:pPr>
      <w:r>
        <w:t xml:space="preserve">Of 240 contrasts, 58 had unadjusted CIs excluding zero and 23 survived Benjamini–Hochberg adjustment (Table S12).</w:t>
      </w:r>
    </w:p>
    <w:p>
      <w:pPr>
        <w:pStyle w:val="BodyText"/>
      </w:pPr>
      <w:r>
        <w:t xml:space="preserve">Table S12. Contrasts surviving Benjamini-Hochberg adjustment across all 240 reported comparisons, grouped by contrast and arm.</w:t>
      </w:r>
      <w:r>
        <w:t xml:space="preserve"> </w:t>
      </w:r>
      <w:r>
        <w:t xml:space="preserve">“Models surviving”</w:t>
      </w:r>
      <w:r>
        <w:t xml:space="preserve"> </w:t>
      </w:r>
      <w:r>
        <w:t xml:space="preserve">counts how many of that arm’s contrasted models cleared the threshold.</w:t>
      </w:r>
    </w:p>
    <w:tbl>
      <w:tblPr>
        <w:tblStyle w:val="Table"/>
        <w:tblW w:type="pct" w:w="5000"/>
        <w:tblLayout w:type="fixed"/>
        <w:tblLook w:firstRow="1" w:lastRow="0" w:firstColumn="0" w:lastColumn="0" w:noHBand="0" w:noVBand="0" w:val="0020"/>
      </w:tblPr>
      <w:tblGrid>
        <w:gridCol w:w="3381"/>
        <w:gridCol w:w="1512"/>
        <w:gridCol w:w="800"/>
        <w:gridCol w:w="1423"/>
        <w:gridCol w:w="800"/>
      </w:tblGrid>
      <w:tr>
        <w:trPr>
          <w:tblHeader w:val="on"/>
        </w:trPr>
        <w:tc>
          <w:tcPr/>
          <w:p>
            <w:pPr>
              <w:pStyle w:val="Compact"/>
            </w:pPr>
            <w:r>
              <w:rPr>
                <w:b/>
                <w:bCs/>
              </w:rPr>
              <w:t xml:space="preserve">Contrast</w:t>
            </w:r>
          </w:p>
        </w:tc>
        <w:tc>
          <w:tcPr/>
          <w:p>
            <w:pPr>
              <w:pStyle w:val="Compact"/>
            </w:pPr>
            <w:r>
              <w:rPr>
                <w:b/>
                <w:bCs/>
              </w:rPr>
              <w:t xml:space="preserve">Arm</w:t>
            </w:r>
          </w:p>
        </w:tc>
        <w:tc>
          <w:tcPr/>
          <w:p>
            <w:pPr>
              <w:pStyle w:val="Compact"/>
            </w:pPr>
            <w:r>
              <w:rPr>
                <w:b/>
                <w:bCs/>
              </w:rPr>
              <w:t xml:space="preserve">Models surviving</w:t>
            </w:r>
          </w:p>
        </w:tc>
        <w:tc>
          <w:tcPr/>
          <w:p>
            <w:pPr>
              <w:pStyle w:val="Compact"/>
            </w:pPr>
            <w:r>
              <w:rPr>
                <w:b/>
                <w:bCs/>
              </w:rPr>
              <w:t xml:space="preserve">ΔROC AUC range</w:t>
            </w:r>
          </w:p>
        </w:tc>
        <w:tc>
          <w:tcPr/>
          <w:p>
            <w:pPr>
              <w:pStyle w:val="Compact"/>
            </w:pPr>
            <w:r>
              <w:rPr>
                <w:b/>
                <w:bCs/>
              </w:rPr>
              <w:t xml:space="preserve">Smallest P (BH)</w:t>
            </w:r>
          </w:p>
        </w:tc>
      </w:tr>
      <w:tr>
        <w:tc>
          <w:tcPr/>
          <w:p>
            <w:pPr>
              <w:pStyle w:val="Compact"/>
            </w:pPr>
            <w:r>
              <w:t xml:space="preserve">Age: 18-29 vs rest</w:t>
            </w:r>
          </w:p>
        </w:tc>
        <w:tc>
          <w:tcPr/>
          <w:p>
            <w:pPr>
              <w:pStyle w:val="Compact"/>
            </w:pPr>
            <w:r>
              <w:t xml:space="preserve">Feature vector</w:t>
            </w:r>
          </w:p>
        </w:tc>
        <w:tc>
          <w:tcPr/>
          <w:p>
            <w:pPr>
              <w:pStyle w:val="Compact"/>
            </w:pPr>
            <w:r>
              <w:t xml:space="preserve">1 of 4</w:t>
            </w:r>
          </w:p>
        </w:tc>
        <w:tc>
          <w:tcPr/>
          <w:p>
            <w:pPr>
              <w:pStyle w:val="Compact"/>
            </w:pPr>
            <w:r>
              <w:t xml:space="preserve">−0.068 (95% CI −0.117 to −0.022)</w:t>
            </w:r>
          </w:p>
        </w:tc>
        <w:tc>
          <w:tcPr/>
          <w:p>
            <w:pPr>
              <w:pStyle w:val="Compact"/>
            </w:pPr>
            <w:r>
              <w:t xml:space="preserve">0.042</w:t>
            </w:r>
          </w:p>
        </w:tc>
      </w:tr>
      <w:tr>
        <w:tc>
          <w:tcPr/>
          <w:p>
            <w:pPr>
              <w:pStyle w:val="Compact"/>
            </w:pPr>
            <w:r>
              <w:t xml:space="preserve">MDD recurrence: Recurrent vs rest</w:t>
            </w:r>
          </w:p>
        </w:tc>
        <w:tc>
          <w:tcPr/>
          <w:p>
            <w:pPr>
              <w:pStyle w:val="Compact"/>
            </w:pPr>
            <w:r>
              <w:t xml:space="preserve">Embedded</w:t>
            </w:r>
          </w:p>
        </w:tc>
        <w:tc>
          <w:tcPr/>
          <w:p>
            <w:pPr>
              <w:pStyle w:val="Compact"/>
            </w:pPr>
            <w:r>
              <w:t xml:space="preserve">4 of 4</w:t>
            </w:r>
          </w:p>
        </w:tc>
        <w:tc>
          <w:tcPr/>
          <w:p>
            <w:pPr>
              <w:pStyle w:val="Compact"/>
            </w:pPr>
            <w:r>
              <w:t xml:space="preserve">+0.059 (95% CI +0.030 to +0.089) to +0.072 (95% CI +0.041 to +0.104)</w:t>
            </w:r>
          </w:p>
        </w:tc>
        <w:tc>
          <w:tcPr/>
          <w:p>
            <w:pPr>
              <w:pStyle w:val="Compact"/>
            </w:pPr>
            <w:r>
              <w:t xml:space="preserve">0.015</w:t>
            </w:r>
          </w:p>
        </w:tc>
      </w:tr>
      <w:tr>
        <w:tc>
          <w:tcPr/>
          <w:p>
            <w:pPr>
              <w:pStyle w:val="Compact"/>
            </w:pPr>
            <w:r>
              <w:t xml:space="preserve">MDD recurrence: Recurrent vs rest</w:t>
            </w:r>
          </w:p>
        </w:tc>
        <w:tc>
          <w:tcPr/>
          <w:p>
            <w:pPr>
              <w:pStyle w:val="Compact"/>
            </w:pPr>
            <w:r>
              <w:t xml:space="preserve">Feature vector</w:t>
            </w:r>
          </w:p>
        </w:tc>
        <w:tc>
          <w:tcPr/>
          <w:p>
            <w:pPr>
              <w:pStyle w:val="Compact"/>
            </w:pPr>
            <w:r>
              <w:t xml:space="preserve">4 of 4</w:t>
            </w:r>
          </w:p>
        </w:tc>
        <w:tc>
          <w:tcPr/>
          <w:p>
            <w:pPr>
              <w:pStyle w:val="Compact"/>
            </w:pPr>
            <w:r>
              <w:t xml:space="preserve">+0.060 (95% CI +0.027 to +0.091) to +0.068 (95% CI +0.037 to +0.100)</w:t>
            </w:r>
          </w:p>
        </w:tc>
        <w:tc>
          <w:tcPr/>
          <w:p>
            <w:pPr>
              <w:pStyle w:val="Compact"/>
            </w:pPr>
            <w:r>
              <w:t xml:space="preserve">0.015</w:t>
            </w:r>
          </w:p>
        </w:tc>
      </w:tr>
      <w:tr>
        <w:tc>
          <w:tcPr/>
          <w:p>
            <w:pPr>
              <w:pStyle w:val="Compact"/>
            </w:pPr>
            <w:r>
              <w:t xml:space="preserve">MDD recurrence: Recurrent vs rest</w:t>
            </w:r>
          </w:p>
        </w:tc>
        <w:tc>
          <w:tcPr/>
          <w:p>
            <w:pPr>
              <w:pStyle w:val="Compact"/>
            </w:pPr>
            <w:r>
              <w:t xml:space="preserve">Nearest neighbors</w:t>
            </w:r>
          </w:p>
        </w:tc>
        <w:tc>
          <w:tcPr/>
          <w:p>
            <w:pPr>
              <w:pStyle w:val="Compact"/>
            </w:pPr>
            <w:r>
              <w:t xml:space="preserve">2 of 2</w:t>
            </w:r>
          </w:p>
        </w:tc>
        <w:tc>
          <w:tcPr/>
          <w:p>
            <w:pPr>
              <w:pStyle w:val="Compact"/>
            </w:pPr>
            <w:r>
              <w:t xml:space="preserve">+0.053 (95% CI +0.022 to +0.085) to +0.060 (95% CI +0.028 to +0.091)</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Embedded</w:t>
            </w:r>
          </w:p>
        </w:tc>
        <w:tc>
          <w:tcPr/>
          <w:p>
            <w:pPr>
              <w:pStyle w:val="Compact"/>
            </w:pPr>
            <w:r>
              <w:t xml:space="preserve">4 of 4</w:t>
            </w:r>
          </w:p>
        </w:tc>
        <w:tc>
          <w:tcPr/>
          <w:p>
            <w:pPr>
              <w:pStyle w:val="Compact"/>
            </w:pPr>
            <w:r>
              <w:t xml:space="preserve">−0.071 (95% CI −0.105 to −0.039) to −0.065 (95% CI −0.096 to −0.035)</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Feature vector</w:t>
            </w:r>
          </w:p>
        </w:tc>
        <w:tc>
          <w:tcPr/>
          <w:p>
            <w:pPr>
              <w:pStyle w:val="Compact"/>
            </w:pPr>
            <w:r>
              <w:t xml:space="preserve">3 of 4</w:t>
            </w:r>
          </w:p>
        </w:tc>
        <w:tc>
          <w:tcPr/>
          <w:p>
            <w:pPr>
              <w:pStyle w:val="Compact"/>
            </w:pPr>
            <w:r>
              <w:t xml:space="preserve">−0.064 (95% CI −0.098 to −0.030) to −0.056 (95% CI −0.088 to −0.024)</w:t>
            </w:r>
          </w:p>
        </w:tc>
        <w:tc>
          <w:tcPr/>
          <w:p>
            <w:pPr>
              <w:pStyle w:val="Compact"/>
            </w:pPr>
            <w:r>
              <w:t xml:space="preserve">0.027</w:t>
            </w:r>
          </w:p>
        </w:tc>
      </w:tr>
      <w:tr>
        <w:tc>
          <w:tcPr/>
          <w:p>
            <w:pPr>
              <w:pStyle w:val="Compact"/>
            </w:pPr>
            <w:r>
              <w:t xml:space="preserve">MDD recurrence: Single Episode vs rest</w:t>
            </w:r>
          </w:p>
        </w:tc>
        <w:tc>
          <w:tcPr/>
          <w:p>
            <w:pPr>
              <w:pStyle w:val="Compact"/>
            </w:pPr>
            <w:r>
              <w:t xml:space="preserve">Nearest neighbors</w:t>
            </w:r>
          </w:p>
        </w:tc>
        <w:tc>
          <w:tcPr/>
          <w:p>
            <w:pPr>
              <w:pStyle w:val="Compact"/>
            </w:pPr>
            <w:r>
              <w:t xml:space="preserve">2 of 2</w:t>
            </w:r>
          </w:p>
        </w:tc>
        <w:tc>
          <w:tcPr/>
          <w:p>
            <w:pPr>
              <w:pStyle w:val="Compact"/>
            </w:pPr>
            <w:r>
              <w:t xml:space="preserve">−0.058 (95% CI −0.090 to −0.026) to −0.047 (95% CI −0.079 to −0.014)</w:t>
            </w:r>
          </w:p>
        </w:tc>
        <w:tc>
          <w:tcPr/>
          <w:p>
            <w:pPr>
              <w:pStyle w:val="Compact"/>
            </w:pPr>
            <w:r>
              <w:t xml:space="preserve">0.027</w:t>
            </w:r>
          </w:p>
        </w:tc>
      </w:tr>
      <w:tr>
        <w:tc>
          <w:tcPr/>
          <w:p>
            <w:pPr>
              <w:pStyle w:val="Compact"/>
            </w:pPr>
            <w:r>
              <w:t xml:space="preserve">Marital status: Never Married vs rest</w:t>
            </w:r>
          </w:p>
        </w:tc>
        <w:tc>
          <w:tcPr/>
          <w:p>
            <w:pPr>
              <w:pStyle w:val="Compact"/>
            </w:pPr>
            <w:r>
              <w:t xml:space="preserve">Embedded</w:t>
            </w:r>
          </w:p>
        </w:tc>
        <w:tc>
          <w:tcPr/>
          <w:p>
            <w:pPr>
              <w:pStyle w:val="Compact"/>
            </w:pPr>
            <w:r>
              <w:t xml:space="preserve">2 of 4</w:t>
            </w:r>
          </w:p>
        </w:tc>
        <w:tc>
          <w:tcPr/>
          <w:p>
            <w:pPr>
              <w:pStyle w:val="Compact"/>
            </w:pPr>
            <w:r>
              <w:t xml:space="preserve">−0.054 (95% CI −0.090 to −0.019) to −0.051 (95% CI −0.086 to −0.016)</w:t>
            </w:r>
          </w:p>
        </w:tc>
        <w:tc>
          <w:tcPr/>
          <w:p>
            <w:pPr>
              <w:pStyle w:val="Compact"/>
            </w:pPr>
            <w:r>
              <w:t xml:space="preserve">0.015</w:t>
            </w:r>
          </w:p>
        </w:tc>
      </w:tr>
      <w:tr>
        <w:tc>
          <w:tcPr/>
          <w:p>
            <w:pPr>
              <w:pStyle w:val="Compact"/>
            </w:pPr>
            <w:r>
              <w:t xml:space="preserve">Marital status: Never Married vs rest</w:t>
            </w:r>
          </w:p>
        </w:tc>
        <w:tc>
          <w:tcPr/>
          <w:p>
            <w:pPr>
              <w:pStyle w:val="Compact"/>
            </w:pPr>
            <w:r>
              <w:t xml:space="preserve">Nearest neighbors</w:t>
            </w:r>
          </w:p>
        </w:tc>
        <w:tc>
          <w:tcPr/>
          <w:p>
            <w:pPr>
              <w:pStyle w:val="Compact"/>
            </w:pPr>
            <w:r>
              <w:t xml:space="preserve">1 of 2</w:t>
            </w:r>
          </w:p>
        </w:tc>
        <w:tc>
          <w:tcPr/>
          <w:p>
            <w:pPr>
              <w:pStyle w:val="Compact"/>
            </w:pPr>
            <w:r>
              <w:t xml:space="preserve">−0.047 (95% CI −0.080 to −0.012)</w:t>
            </w:r>
          </w:p>
        </w:tc>
        <w:tc>
          <w:tcPr/>
          <w:p>
            <w:pPr>
              <w:pStyle w:val="Compact"/>
            </w:pPr>
            <w:r>
              <w:t xml:space="preserve">0.042</w:t>
            </w:r>
          </w:p>
        </w:tc>
      </w:tr>
    </w:tbl>
    <w:p>
      <w:pPr>
        <w:pStyle w:val="FirstParagraph"/>
      </w:pPr>
      <w:r>
        <w:t xml:space="preserve">Ranges run from the smallest to the largest surviving point estimate, each with its own 95% CI; a single-model row shows that model’s estimate and CI. Every surviving contrast’s 95% CI excludes zero.</w:t>
      </w:r>
    </w:p>
    <w:p>
      <w:pPr>
        <w:pStyle w:val="BodyText"/>
      </w:pPr>
      <w:r>
        <w:t xml:space="preserve">All 10 male-minus-female AUC contrasts included zero; the largest absolute difference was +0.012 (95% CI −0.021 to +0.046), for FEATURE gradient boosting. This does not establish equivalent performance.</w:t>
      </w:r>
    </w:p>
    <w:p>
      <w:pPr>
        <w:pStyle w:val="BodyText"/>
      </w:pPr>
      <w:r>
        <w:t xml:space="preserve">All 10 White-minus-non-White AUC contrasts were positive, from +0.005 (95% CI −0.031 to +0.042) to +0.046 (95% CI +0.006 to +0.087); 5 excluded zero before adjustment, but none survived adjustment (minimum adjusted P=.15). For FEATURE logistic regression, calibration slopes were 0.98 (95% CI 0.85–1.11) in White patients and 0.79 (95% CI 0.56–1.02) in patients with other recorded racial categories.</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from +0.053 (95% CI +0.022 to +0.085) to +0.072 (95% CI +0.041 to +0.104). Single-episode coding was associated with lower discrimination, from −0.071 (95% CI −0.105 to −0.039) to −0.047 (95% CI −0.079 to −0.014), which survived adjustment in 9. Severe coding did not survive adjustment in either retrieval arm at its best k (plain cosine +0.053, 95% CI −0.008 to +0.104, adjusted P=.26; logistic-regression-weighted +0.064, 95% CI +0.005 to +0.118, adjusted P=.18).</w:t>
      </w:r>
    </w:p>
    <w:p>
      <w:pPr>
        <w:pStyle w:val="BodyText"/>
      </w:pPr>
      <w:r>
        <w:t xml:space="preserve">The remaining 4 adjusted contrasts indicated lower discrimination among never-married patients in 2 EMBEDDED classifiers, from −0.054 (95% CI −0.090 to −0.019) to −0.051 (95% CI −0.086 to −0.016; minimum adjusted P=.015), and in logistic-regression-weighted retrieval, −0.047 (95% CI −0.080 to −0.012; adjusted P=.04), and at ages 18–29 in FEATURE XGBoost, −0.068 (95% CI −0.117 to −0.022; adjusted P=.04). Their causes were not established.</w:t>
      </w:r>
    </w:p>
    <w:p>
      <w:pPr>
        <w:pStyle w:val="BodyText"/>
      </w:pPr>
      <w:r>
        <w:drawing>
          <wp:inline>
            <wp:extent cx="5120640" cy="6903282"/>
            <wp:effectExtent b="0" l="0" r="0" t="0"/>
            <wp:docPr descr="" title="" id="170" name="Picture"/>
            <a:graphic>
              <a:graphicData uri="http://schemas.openxmlformats.org/drawingml/2006/picture">
                <pic:pic>
                  <pic:nvPicPr>
                    <pic:cNvPr descr="../exports/results/review/subgroups/subgroup_forest.png" id="171" name="Picture"/>
                    <pic:cNvPicPr>
                      <a:picLocks noChangeArrowheads="1" noChangeAspect="1"/>
                    </pic:cNvPicPr>
                  </pic:nvPicPr>
                  <pic:blipFill>
                    <a:blip r:embed="rId169"/>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S11. Subgroup discrimination across sociodemographic strata, one representative model per arm, with 95% bootstrap confidence intervals. The dotted line marks chance. Strata declared not estimable are omitted.</w:t>
      </w:r>
    </w:p>
    <w:bookmarkEnd w:id="172"/>
    <w:bookmarkEnd w:id="173"/>
    <w:bookmarkStart w:id="174" w:name="_e650b54780c89be4b61c8e79b27209b39a2bb9d"/>
    <w:p>
      <w:pPr>
        <w:pStyle w:val="Heading1"/>
      </w:pPr>
      <w:r>
        <w:t xml:space="preserve">S10 Representation Field Crosswalk</w:t>
      </w:r>
    </w:p>
    <w:p>
      <w:pPr>
        <w:pStyle w:val="FirstParagraph"/>
      </w:pPr>
      <w:r>
        <w:t xml:space="preserve">Table S13 documents how the pipelines encode each source field, based on scripts/data_loading/feature_vector.py and scripts/data_loading/deterministic_narrative.py. It distinguishes shared information from differences in field content and resolution.</w:t>
      </w:r>
    </w:p>
    <w:p>
      <w:pPr>
        <w:pStyle w:val="BodyText"/>
      </w:pPr>
      <w:r>
        <w:t xml:space="preserve">Fields were available by the index date. Clinical content used the 730-day lookback, while recorded history length summarized the longer pre-index record and index date identified the prediction date. Neither representation used post-index clinical data.</w:t>
      </w:r>
    </w:p>
    <w:p>
      <w:pPr>
        <w:pStyle w:val="BodyText"/>
      </w:pPr>
      <w:r>
        <w:t xml:space="preserve">Table S13. Field-level crosswalk. Asymmetric marks a row where the two representations do not receive the same information. Missing-value rules are as implemented, not as intended.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Source field</w:t>
            </w:r>
          </w:p>
        </w:tc>
        <w:tc>
          <w:tcPr/>
          <w:p>
            <w:pPr>
              <w:pStyle w:val="Compact"/>
              <w:jc w:val="left"/>
            </w:pPr>
            <w:r>
              <w:rPr>
                <w:b/>
                <w:bCs/>
              </w:rPr>
              <w:t xml:space="preserve">Feature-matrix encoding</w:t>
            </w:r>
          </w:p>
        </w:tc>
        <w:tc>
          <w:tcPr/>
          <w:p>
            <w:pPr>
              <w:pStyle w:val="Compact"/>
              <w:jc w:val="left"/>
            </w:pPr>
            <w:r>
              <w:rPr>
                <w:b/>
                <w:bCs/>
              </w:rPr>
              <w:t xml:space="preserve">Narrative rendering</w:t>
            </w:r>
          </w:p>
        </w:tc>
        <w:tc>
          <w:tcPr/>
          <w:p>
            <w:pPr>
              <w:pStyle w:val="Compact"/>
              <w:jc w:val="left"/>
            </w:pPr>
            <w:r>
              <w:rPr>
                <w:b/>
                <w:bCs/>
              </w:rPr>
              <w:t xml:space="preserve">Missing-value rule</w:t>
            </w:r>
          </w:p>
        </w:tc>
        <w:tc>
          <w:tcPr/>
          <w:p>
            <w:pPr>
              <w:pStyle w:val="Compact"/>
              <w:jc w:val="left"/>
            </w:pPr>
            <w:r>
              <w:rPr>
                <w:b/>
                <w:bCs/>
              </w:rPr>
              <w:t xml:space="preserve">Parity</w:t>
            </w:r>
          </w:p>
        </w:tc>
      </w:tr>
      <w:tr>
        <w:tc>
          <w:tcPr/>
          <w:p>
            <w:pPr>
              <w:pStyle w:val="Compact"/>
              <w:jc w:val="left"/>
            </w:pPr>
            <w:r>
              <w:t xml:space="preserve">MDD recurrence, severity</w:t>
            </w:r>
          </w:p>
        </w:tc>
        <w:tc>
          <w:tcPr/>
          <w:p>
            <w:pPr>
              <w:pStyle w:val="Compact"/>
              <w:jc w:val="left"/>
            </w:pPr>
            <w:r>
              <w:t xml:space="preserve">two categorical columns</w:t>
            </w:r>
          </w:p>
        </w:tc>
        <w:tc>
          <w:tcPr/>
          <w:p>
            <w:pPr>
              <w:pStyle w:val="Compact"/>
              <w:jc w:val="left"/>
            </w:pPr>
            <w:r>
              <w:t xml:space="preserve">Condition: MDD (recurrence, severity)</w:t>
            </w:r>
          </w:p>
        </w:tc>
        <w:tc>
          <w:tcPr/>
          <w:p>
            <w:pPr>
              <w:pStyle w:val="Compact"/>
              <w:jc w:val="left"/>
            </w:pPr>
            <w:r>
              <w:t xml:space="preserve">empty string is a level in both</w:t>
            </w:r>
          </w:p>
        </w:tc>
        <w:tc>
          <w:tcPr/>
          <w:p>
            <w:pPr>
              <w:pStyle w:val="Compact"/>
              <w:jc w:val="left"/>
            </w:pPr>
            <w:r>
              <w:t xml:space="preserve">matched</w:t>
            </w:r>
          </w:p>
        </w:tc>
      </w:tr>
      <w:tr>
        <w:tc>
          <w:tcPr/>
          <w:p>
            <w:pPr>
              <w:pStyle w:val="Compact"/>
              <w:jc w:val="left"/>
            </w:pPr>
            <w:r>
              <w:t xml:space="preserve">Index date</w:t>
            </w:r>
          </w:p>
        </w:tc>
        <w:tc>
          <w:tcPr/>
          <w:p>
            <w:pPr>
              <w:pStyle w:val="Compact"/>
              <w:jc w:val="left"/>
            </w:pPr>
            <w:r>
              <w:t xml:space="preserve">no column</w:t>
            </w:r>
          </w:p>
        </w:tc>
        <w:tc>
          <w:tcPr/>
          <w:p>
            <w:pPr>
              <w:pStyle w:val="Compact"/>
              <w:jc w:val="left"/>
            </w:pPr>
            <w:r>
              <w:t xml:space="preserve">Index date: YYYY-MM-DD</w:t>
            </w:r>
          </w:p>
        </w:tc>
        <w:tc>
          <w:tcPr/>
          <w:p>
            <w:pPr>
              <w:pStyle w:val="Compact"/>
              <w:jc w:val="left"/>
            </w:pPr>
            <w:r>
              <w:t xml:space="preserve">never missing</w:t>
            </w:r>
          </w:p>
        </w:tc>
        <w:tc>
          <w:tcPr/>
          <w:p>
            <w:pPr>
              <w:pStyle w:val="Compact"/>
              <w:jc w:val="left"/>
            </w:pPr>
            <w:r>
              <w:t xml:space="preserve">asymmetric</w:t>
            </w:r>
          </w:p>
        </w:tc>
      </w:tr>
      <w:tr>
        <w:tc>
          <w:tcPr/>
          <w:p>
            <w:pPr>
              <w:pStyle w:val="Compact"/>
              <w:jc w:val="left"/>
            </w:pPr>
            <w:r>
              <w:t xml:space="preserve">Lookback window width</w:t>
            </w:r>
          </w:p>
        </w:tc>
        <w:tc>
          <w:tcPr/>
          <w:p>
            <w:pPr>
              <w:pStyle w:val="Compact"/>
              <w:jc w:val="left"/>
            </w:pPr>
            <w:r>
              <w:t xml:space="preserve">no column (constant)</w:t>
            </w:r>
          </w:p>
        </w:tc>
        <w:tc>
          <w:tcPr/>
          <w:p>
            <w:pPr>
              <w:pStyle w:val="Compact"/>
              <w:jc w:val="left"/>
            </w:pPr>
            <w:r>
              <w:t xml:space="preserve">Baseline window: −730...0 days</w:t>
            </w:r>
          </w:p>
        </w:tc>
        <w:tc>
          <w:tcPr/>
          <w:p>
            <w:pPr>
              <w:pStyle w:val="Compact"/>
              <w:jc w:val="left"/>
            </w:pPr>
            <w:r>
              <w:t xml:space="preserve">never missing</w:t>
            </w:r>
          </w:p>
        </w:tc>
        <w:tc>
          <w:tcPr/>
          <w:p>
            <w:pPr>
              <w:pStyle w:val="Compact"/>
              <w:jc w:val="left"/>
            </w:pPr>
            <w:r>
              <w:t xml:space="preserve">matched (carries no information)</w:t>
            </w:r>
          </w:p>
        </w:tc>
      </w:tr>
      <w:tr>
        <w:tc>
          <w:tcPr/>
          <w:p>
            <w:pPr>
              <w:pStyle w:val="Compact"/>
              <w:jc w:val="left"/>
            </w:pPr>
            <w:r>
              <w:t xml:space="preserve">MDD-to-index gap</w:t>
            </w:r>
          </w:p>
        </w:tc>
        <w:tc>
          <w:tcPr/>
          <w:p>
            <w:pPr>
              <w:pStyle w:val="Compact"/>
              <w:jc w:val="left"/>
            </w:pPr>
            <w:r>
              <w:t xml:space="preserve">mdd_to_anchor_days, float</w:t>
            </w:r>
          </w:p>
        </w:tc>
        <w:tc>
          <w:tcPr/>
          <w:p>
            <w:pPr>
              <w:pStyle w:val="Compact"/>
              <w:jc w:val="left"/>
            </w:pPr>
            <w:r>
              <w:t xml:space="preserve">MDD-to-anchor gap: N days</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Encounter count in window</w:t>
            </w:r>
          </w:p>
        </w:tc>
        <w:tc>
          <w:tcPr/>
          <w:p>
            <w:pPr>
              <w:pStyle w:val="Compact"/>
              <w:jc w:val="left"/>
            </w:pPr>
            <w:r>
              <w:t xml:space="preserve">num_encounters, float</w:t>
            </w:r>
          </w:p>
        </w:tc>
        <w:tc>
          <w:tcPr/>
          <w:p>
            <w:pPr>
              <w:pStyle w:val="Compact"/>
              <w:jc w:val="left"/>
            </w:pPr>
            <w:r>
              <w:t xml:space="preserve">Encounters in window: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MDD inside lookback window</w:t>
            </w:r>
          </w:p>
        </w:tc>
        <w:tc>
          <w:tcPr/>
          <w:p>
            <w:pPr>
              <w:pStyle w:val="Compact"/>
              <w:jc w:val="left"/>
            </w:pPr>
            <w:r>
              <w:t xml:space="preserve">mdd_within_window, boolean</w:t>
            </w:r>
          </w:p>
        </w:tc>
        <w:tc>
          <w:tcPr/>
          <w:p>
            <w:pPr>
              <w:pStyle w:val="Compact"/>
              <w:jc w:val="left"/>
            </w:pPr>
            <w:r>
              <w:t xml:space="preserve">MDD within window: Present/Absent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Recorded pre-index history length</w:t>
            </w:r>
          </w:p>
        </w:tc>
        <w:tc>
          <w:tcPr/>
          <w:p>
            <w:pPr>
              <w:pStyle w:val="Compact"/>
              <w:jc w:val="left"/>
            </w:pPr>
            <w:r>
              <w:t xml:space="preserve">pre_anchor_history_days, float</w:t>
            </w:r>
          </w:p>
        </w:tc>
        <w:tc>
          <w:tcPr/>
          <w:p>
            <w:pPr>
              <w:pStyle w:val="Compact"/>
              <w:jc w:val="left"/>
            </w:pPr>
            <w:r>
              <w:t xml:space="preserve">not rendered</w:t>
            </w:r>
          </w:p>
        </w:tc>
        <w:tc>
          <w:tcPr/>
          <w:p>
            <w:pPr>
              <w:pStyle w:val="Compact"/>
              <w:jc w:val="left"/>
            </w:pPr>
            <w:r>
              <w:t xml:space="preserve">never missing</w:t>
            </w:r>
          </w:p>
        </w:tc>
        <w:tc>
          <w:tcPr/>
          <w:p>
            <w:pPr>
              <w:pStyle w:val="Compact"/>
              <w:jc w:val="left"/>
            </w:pPr>
            <w:r>
              <w:t xml:space="preserve">asymmetric</w:t>
            </w:r>
          </w:p>
        </w:tc>
      </w:tr>
      <w:tr>
        <w:tc>
          <w:tcPr/>
          <w:p>
            <w:pPr>
              <w:pStyle w:val="Compact"/>
              <w:jc w:val="left"/>
            </w:pPr>
            <w:r>
              <w:t xml:space="preserve">Age</w:t>
            </w:r>
          </w:p>
        </w:tc>
        <w:tc>
          <w:tcPr/>
          <w:p>
            <w:pPr>
              <w:pStyle w:val="Compact"/>
              <w:jc w:val="left"/>
            </w:pPr>
            <w:r>
              <w:t xml:space="preserve">AgeInYears, float</w:t>
            </w:r>
          </w:p>
        </w:tc>
        <w:tc>
          <w:tcPr/>
          <w:p>
            <w:pPr>
              <w:pStyle w:val="Compact"/>
              <w:jc w:val="left"/>
            </w:pPr>
            <w:r>
              <w:t xml:space="preserve">AgeInYears: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Sex</w:t>
            </w:r>
          </w:p>
        </w:tc>
        <w:tc>
          <w:tcPr/>
          <w:p>
            <w:pPr>
              <w:pStyle w:val="Compact"/>
              <w:jc w:val="left"/>
            </w:pPr>
            <w:r>
              <w:t xml:space="preserve">categorical</w:t>
            </w:r>
          </w:p>
        </w:tc>
        <w:tc>
          <w:tcPr/>
          <w:p>
            <w:pPr>
              <w:pStyle w:val="Compact"/>
              <w:jc w:val="left"/>
            </w:pPr>
            <w:r>
              <w:t xml:space="preserve">Sex: X</w:t>
            </w:r>
          </w:p>
        </w:tc>
        <w:tc>
          <w:tcPr/>
          <w:p>
            <w:pPr>
              <w:pStyle w:val="Compact"/>
              <w:jc w:val="left"/>
            </w:pPr>
            <w:r>
              <w:t xml:space="preserve">absent value becomes its own one-hot level; narrative prints the raw token</w:t>
            </w:r>
          </w:p>
        </w:tc>
        <w:tc>
          <w:tcPr/>
          <w:p>
            <w:pPr>
              <w:pStyle w:val="Compact"/>
              <w:jc w:val="left"/>
            </w:pPr>
            <w:r>
              <w:t xml:space="preserve">matched</w:t>
            </w:r>
          </w:p>
        </w:tc>
      </w:tr>
      <w:tr>
        <w:tc>
          <w:tcPr/>
          <w:p>
            <w:pPr>
              <w:pStyle w:val="Compact"/>
              <w:jc w:val="left"/>
            </w:pPr>
            <w:r>
              <w:t xml:space="preserve">Race / ethnicity</w:t>
            </w:r>
          </w:p>
        </w:tc>
        <w:tc>
          <w:tcPr/>
          <w:p>
            <w:pPr>
              <w:pStyle w:val="Compact"/>
              <w:jc w:val="left"/>
            </w:pPr>
            <w:r>
              <w:t xml:space="preserve">categorical, seven levels</w:t>
            </w:r>
          </w:p>
        </w:tc>
        <w:tc>
          <w:tcPr/>
          <w:p>
            <w:pPr>
              <w:pStyle w:val="Compact"/>
              <w:jc w:val="left"/>
            </w:pPr>
            <w:r>
              <w:t xml:space="preserve">Race_Ethnicity: X</w:t>
            </w:r>
          </w:p>
        </w:tc>
        <w:tc>
          <w:tcPr/>
          <w:p>
            <w:pPr>
              <w:pStyle w:val="Compact"/>
              <w:jc w:val="left"/>
            </w:pPr>
            <w:r>
              <w:t xml:space="preserve">own one-hot level; narrative prints raw token</w:t>
            </w:r>
          </w:p>
        </w:tc>
        <w:tc>
          <w:tcPr/>
          <w:p>
            <w:pPr>
              <w:pStyle w:val="Compact"/>
              <w:jc w:val="left"/>
            </w:pPr>
            <w:r>
              <w:t xml:space="preserve">matched</w:t>
            </w:r>
          </w:p>
        </w:tc>
      </w:tr>
      <w:tr>
        <w:tc>
          <w:tcPr/>
          <w:p>
            <w:pPr>
              <w:pStyle w:val="Compact"/>
              <w:jc w:val="left"/>
            </w:pPr>
            <w:r>
              <w:t xml:space="preserve">Preferred language</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Marital status</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Religion</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Smoking status</w:t>
            </w:r>
          </w:p>
        </w:tc>
        <w:tc>
          <w:tcPr/>
          <w:p>
            <w:pPr>
              <w:pStyle w:val="Compact"/>
              <w:jc w:val="left"/>
            </w:pPr>
            <w:r>
              <w:t xml:space="preserve">categorical, collapsed to three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Sexual orientation</w:t>
            </w:r>
          </w:p>
        </w:tc>
        <w:tc>
          <w:tcPr/>
          <w:p>
            <w:pPr>
              <w:pStyle w:val="Compact"/>
              <w:jc w:val="left"/>
            </w:pPr>
            <w:r>
              <w:t xml:space="preserve">no column</w:t>
            </w:r>
          </w:p>
        </w:tc>
        <w:tc>
          <w:tcPr/>
          <w:p>
            <w:pPr>
              <w:pStyle w:val="Compact"/>
              <w:jc w:val="left"/>
            </w:pPr>
            <w:r>
              <w:t xml:space="preserve">SexualOrientation: X</w:t>
            </w:r>
          </w:p>
        </w:tc>
        <w:tc>
          <w:tcPr/>
          <w:p>
            <w:pPr>
              <w:pStyle w:val="Compact"/>
              <w:jc w:val="left"/>
            </w:pPr>
            <w:r>
              <w:t xml:space="preserve">rendered as the literal token nan when recorded-but-empty</w:t>
            </w:r>
          </w:p>
        </w:tc>
        <w:tc>
          <w:tcPr/>
          <w:p>
            <w:pPr>
              <w:pStyle w:val="Compact"/>
              <w:jc w:val="left"/>
            </w:pPr>
            <w:r>
              <w:t xml:space="preserve">asymmetric</w:t>
            </w:r>
          </w:p>
        </w:tc>
      </w:tr>
      <w:tr>
        <w:tc>
          <w:tcPr/>
          <w:p>
            <w:pPr>
              <w:pStyle w:val="Compact"/>
              <w:jc w:val="left"/>
            </w:pPr>
            <w:r>
              <w:t xml:space="preserve">Social determinants of health</w:t>
            </w:r>
          </w:p>
        </w:tc>
        <w:tc>
          <w:tcPr/>
          <w:p>
            <w:pPr>
              <w:pStyle w:val="Compact"/>
              <w:jc w:val="left"/>
            </w:pPr>
            <w:r>
              <w:t xml:space="preserve">nine boolean columns</w:t>
            </w:r>
          </w:p>
        </w:tc>
        <w:tc>
          <w:tcPr/>
          <w:p>
            <w:pPr>
              <w:pStyle w:val="Compact"/>
              <w:jc w:val="left"/>
            </w:pPr>
            <w:r>
              <w:t xml:space="preserve">SDOH: list of present categories only</w:t>
            </w:r>
          </w:p>
        </w:tc>
        <w:tc>
          <w:tcPr/>
          <w:p>
            <w:pPr>
              <w:pStyle w:val="Compact"/>
              <w:jc w:val="left"/>
            </w:pPr>
            <w:r>
              <w:t xml:space="preserve">absence is an explicit False in the matrix, an omission from the list in the narrative</w:t>
            </w:r>
          </w:p>
        </w:tc>
        <w:tc>
          <w:tcPr/>
          <w:p>
            <w:pPr>
              <w:pStyle w:val="Compact"/>
              <w:jc w:val="left"/>
            </w:pPr>
            <w:r>
              <w:t xml:space="preserve">matched in content</w:t>
            </w:r>
          </w:p>
        </w:tc>
      </w:tr>
      <w:tr>
        <w:tc>
          <w:tcPr/>
          <w:p>
            <w:pPr>
              <w:pStyle w:val="Compact"/>
              <w:jc w:val="left"/>
            </w:pPr>
            <w:r>
              <w:t xml:space="preserve">BMI, systolic BP, diastolic BP</w:t>
            </w:r>
          </w:p>
        </w:tc>
        <w:tc>
          <w:tcPr/>
          <w:p>
            <w:pPr>
              <w:pStyle w:val="Compact"/>
              <w:jc w:val="left"/>
            </w:pPr>
            <w:r>
              <w:t xml:space="preserve">dropped at load</w:t>
            </w:r>
          </w:p>
        </w:tc>
        <w:tc>
          <w:tcPr/>
          <w:p>
            <w:pPr>
              <w:pStyle w:val="Compact"/>
              <w:jc w:val="left"/>
            </w:pPr>
            <w:r>
              <w:t xml:space="preserve">BMI: N | BP (mean): S/D, or Missing</w:t>
            </w:r>
          </w:p>
        </w:tc>
        <w:tc>
          <w:tcPr/>
          <w:p>
            <w:pPr>
              <w:pStyle w:val="Compact"/>
              <w:jc w:val="left"/>
            </w:pPr>
            <w:r>
              <w:t xml:space="preserve">dropped, so no rule; narrative prints Missing</w:t>
            </w:r>
          </w:p>
        </w:tc>
        <w:tc>
          <w:tcPr/>
          <w:p>
            <w:pPr>
              <w:pStyle w:val="Compact"/>
              <w:jc w:val="left"/>
            </w:pPr>
            <w:r>
              <w:t xml:space="preserve">asymmetric</w:t>
            </w:r>
          </w:p>
        </w:tc>
      </w:tr>
      <w:tr>
        <w:tc>
          <w:tcPr/>
          <w:p>
            <w:pPr>
              <w:pStyle w:val="Compact"/>
              <w:jc w:val="left"/>
            </w:pPr>
            <w:r>
              <w:t xml:space="preserve">Psychiatric comorbidity (8 flags)</w:t>
            </w:r>
          </w:p>
        </w:tc>
        <w:tc>
          <w:tcPr/>
          <w:p>
            <w:pPr>
              <w:pStyle w:val="Compact"/>
              <w:jc w:val="left"/>
            </w:pPr>
            <w:r>
              <w:t xml:space="preserve">eight boolean columns</w:t>
            </w:r>
          </w:p>
        </w:tc>
        <w:tc>
          <w:tcPr/>
          <w:p>
            <w:pPr>
              <w:pStyle w:val="Compact"/>
              <w:jc w:val="left"/>
            </w:pPr>
            <w:r>
              <w:t xml:space="preserve">ARM: Present/Absent for all eight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Suicidality flag</w:t>
            </w:r>
          </w:p>
        </w:tc>
        <w:tc>
          <w:tcPr/>
          <w:p>
            <w:pPr>
              <w:pStyle w:val="Compact"/>
              <w:jc w:val="left"/>
            </w:pPr>
            <w:r>
              <w:t xml:space="preserve">boolean</w:t>
            </w:r>
          </w:p>
        </w:tc>
        <w:tc>
          <w:tcPr/>
          <w:p>
            <w:pPr>
              <w:pStyle w:val="Compact"/>
              <w:jc w:val="left"/>
            </w:pPr>
            <w:r>
              <w:t xml:space="preserve">SUICIDE FLAG (2y): Present/Absent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Substance-use specifics (10)</w:t>
            </w:r>
          </w:p>
        </w:tc>
        <w:tc>
          <w:tcPr/>
          <w:p>
            <w:pPr>
              <w:pStyle w:val="Compact"/>
              <w:jc w:val="left"/>
            </w:pPr>
            <w:r>
              <w:t xml:space="preserve">ten boolean columns</w:t>
            </w:r>
          </w:p>
        </w:tc>
        <w:tc>
          <w:tcPr/>
          <w:p>
            <w:pPr>
              <w:pStyle w:val="Compact"/>
              <w:jc w:val="left"/>
            </w:pPr>
            <w:r>
              <w:t xml:space="preserve">names of present substances only</w:t>
            </w:r>
          </w:p>
        </w:tc>
        <w:tc>
          <w:tcPr/>
          <w:p>
            <w:pPr>
              <w:pStyle w:val="Compact"/>
              <w:jc w:val="left"/>
            </w:pPr>
            <w:r>
              <w:t xml:space="preserve">absence explicit in matrix, omitted in narrative</w:t>
            </w:r>
          </w:p>
        </w:tc>
        <w:tc>
          <w:tcPr/>
          <w:p>
            <w:pPr>
              <w:pStyle w:val="Compact"/>
              <w:jc w:val="left"/>
            </w:pPr>
            <w:r>
              <w:t xml:space="preserve">matched in content</w:t>
            </w:r>
          </w:p>
        </w:tc>
      </w:tr>
      <w:tr>
        <w:tc>
          <w:tcPr/>
          <w:p>
            <w:pPr>
              <w:pStyle w:val="Compact"/>
              <w:jc w:val="left"/>
            </w:pPr>
            <w:r>
              <w:t xml:space="preserve">General medical comorbidity (4)</w:t>
            </w:r>
          </w:p>
        </w:tc>
        <w:tc>
          <w:tcPr/>
          <w:p>
            <w:pPr>
              <w:pStyle w:val="Compact"/>
              <w:jc w:val="left"/>
            </w:pPr>
            <w:r>
              <w:t xml:space="preserve">four boolean columns</w:t>
            </w:r>
          </w:p>
        </w:tc>
        <w:tc>
          <w:tcPr/>
          <w:p>
            <w:pPr>
              <w:pStyle w:val="Compact"/>
              <w:jc w:val="left"/>
            </w:pPr>
            <w:r>
              <w:t xml:space="preserve">ARM: Present/Absent for all four</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Prior adequate AD trials</w:t>
            </w:r>
          </w:p>
        </w:tc>
        <w:tc>
          <w:tcPr/>
          <w:p>
            <w:pPr>
              <w:pStyle w:val="Compact"/>
              <w:jc w:val="left"/>
            </w:pPr>
            <w:r>
              <w:t xml:space="preserve">five per-class trial counts</w:t>
            </w:r>
          </w:p>
        </w:tc>
        <w:tc>
          <w:tcPr/>
          <w:p>
            <w:pPr>
              <w:pStyle w:val="Compact"/>
              <w:jc w:val="left"/>
            </w:pPr>
            <w:r>
              <w:t xml:space="preserve">Prior adequate AD trials: CLASS: n for all five</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Benzodiazepine days</w:t>
            </w:r>
          </w:p>
        </w:tc>
        <w:tc>
          <w:tcPr/>
          <w:p>
            <w:pPr>
              <w:pStyle w:val="Compact"/>
              <w:jc w:val="left"/>
            </w:pPr>
            <w:r>
              <w:t xml:space="preserve">benzo_days_coverage, float</w:t>
            </w:r>
          </w:p>
        </w:tc>
        <w:tc>
          <w:tcPr/>
          <w:p>
            <w:pPr>
              <w:pStyle w:val="Compact"/>
              <w:jc w:val="left"/>
            </w:pPr>
            <w:r>
              <w:t xml:space="preserve">Benzodiazepine days (2y):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Hypnotics</w:t>
            </w:r>
          </w:p>
        </w:tc>
        <w:tc>
          <w:tcPr/>
          <w:p>
            <w:pPr>
              <w:pStyle w:val="Compact"/>
              <w:jc w:val="left"/>
            </w:pPr>
            <w:r>
              <w:t xml:space="preserve">hypnotics_burden,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Active medications</w:t>
            </w:r>
          </w:p>
        </w:tc>
        <w:tc>
          <w:tcPr/>
          <w:p>
            <w:pPr>
              <w:pStyle w:val="Compact"/>
              <w:jc w:val="left"/>
            </w:pPr>
            <w:r>
              <w:t xml:space="preserve">polypharmacy_count,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NSAIDs</w:t>
            </w:r>
          </w:p>
        </w:tc>
        <w:tc>
          <w:tcPr/>
          <w:p>
            <w:pPr>
              <w:pStyle w:val="Compact"/>
              <w:jc w:val="left"/>
            </w:pPr>
            <w:r>
              <w:t xml:space="preserve">nsaid_count,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Psychiatric inpatient days, ED visits</w:t>
            </w:r>
          </w:p>
        </w:tc>
        <w:tc>
          <w:tcPr/>
          <w:p>
            <w:pPr>
              <w:pStyle w:val="Compact"/>
              <w:jc w:val="left"/>
            </w:pPr>
            <w:r>
              <w:t xml:space="preserve">two float columns</w:t>
            </w:r>
          </w:p>
        </w:tc>
        <w:tc>
          <w:tcPr/>
          <w:p>
            <w:pPr>
              <w:pStyle w:val="Compact"/>
              <w:jc w:val="left"/>
            </w:pPr>
            <w:r>
              <w:t xml:space="preserve">Psych inpatient days: N | ED psych visits: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Prescribing-safety comorbidity (2)</w:t>
            </w:r>
          </w:p>
        </w:tc>
        <w:tc>
          <w:tcPr/>
          <w:p>
            <w:pPr>
              <w:pStyle w:val="Compact"/>
              <w:jc w:val="left"/>
            </w:pPr>
            <w:r>
              <w:t xml:space="preserve">two boolean columns</w:t>
            </w:r>
          </w:p>
        </w:tc>
        <w:tc>
          <w:tcPr/>
          <w:p>
            <w:pPr>
              <w:pStyle w:val="Compact"/>
              <w:jc w:val="left"/>
            </w:pPr>
            <w:r>
              <w:t xml:space="preserve">ARM: Present/Absent</w:t>
            </w:r>
          </w:p>
        </w:tc>
        <w:tc>
          <w:tcPr/>
          <w:p>
            <w:pPr>
              <w:pStyle w:val="Compact"/>
              <w:jc w:val="left"/>
            </w:pPr>
            <w:r>
              <w:t xml:space="preserve">never missing</w:t>
            </w:r>
          </w:p>
        </w:tc>
        <w:tc>
          <w:tcPr/>
          <w:p>
            <w:pPr>
              <w:pStyle w:val="Compact"/>
              <w:jc w:val="left"/>
            </w:pPr>
            <w:r>
              <w:t xml:space="preserve">matched</w:t>
            </w:r>
          </w:p>
        </w:tc>
      </w:tr>
    </w:tbl>
    <w:p>
      <w:pPr>
        <w:pStyle w:val="FirstParagraph"/>
      </w:pPr>
      <w:r>
        <w:t xml:space="preserve">Eleven rows are asymmetric. Ten provide additional or finer information to the narrative, including index date, sexual orientation, vital signs, 4 sociodemographic categories, and 3 medication blocks. Recorded history length is available only to FEATURE. The primary comparison therefore cannot isolate encoding from information content.</w:t>
      </w:r>
    </w:p>
    <w:p>
      <w:pPr>
        <w:pStyle w:val="BodyText"/>
      </w:pPr>
      <w:r>
        <w:t xml:space="preserve">FEATURE retains categorical missingness as explicit levels. Its primary vital-sign fields were dropped rather than imputed; narratives retained measured values or missing-value tokens. The raw sexual-orientation token nan is a further implementation-specific exception to the general missing-value convention.</w:t>
      </w:r>
    </w:p>
    <w:p>
      <w:pPr>
        <w:pStyle w:val="BodyText"/>
      </w:pPr>
      <w:r>
        <w:t xml:space="preserve">A sensitivity analysis added vital signs to FEATURE using missingness indicators and within-fold median imputation and added recorded history length to the narratives. The best-model contrast was reported to remain nonsignificant. These changes address selected asymmetries, not all differences listed above. Quantitative results are not included here and are available from the corresponding author.</w:t>
      </w:r>
    </w:p>
    <w:bookmarkEnd w:id="174"/>
    <w:bookmarkStart w:id="175" w:name="_3a518fb6f86db204292aaffc1ae02b02d401201"/>
    <w:p>
      <w:pPr>
        <w:pStyle w:val="Heading1"/>
      </w:pPr>
      <w:r>
        <w:t xml:space="preserve">S11 Cohort Characteristics and Outcome Frequency</w:t>
      </w:r>
    </w:p>
    <w:p>
      <w:pPr>
        <w:pStyle w:val="FirstParagraph"/>
      </w:pPr>
      <w:r>
        <w:t xml:space="preserve">Within-subgroup outcome frequency divides positive patients by all patients in that subgroup. This differs from the outcome-conditioned column percentages in the cohort table below. All frequencies describe the enriched analytic sample.</w:t>
      </w:r>
    </w:p>
    <w:p>
      <w:pPr>
        <w:pStyle w:val="BodyText"/>
      </w:pPr>
      <w:r>
        <w:t xml:space="preserve">Outcome frequency was 18.0% (95% CI 17.6–18.4) among female and 16.2% (95% CI 15.6–16.9) among male patients. It declined across age groups: 20.6% (95% CI 19.5–21.7) at 18–29 years (1,135/5,513), 20.3% (95% CI 19.5–21.2) at 30–44 (1,836/9,025), 18.4% (95% CI 17.8–19.1) at 45–64 (2,445/13,268), and 13.8% (95% CI 13.3–14.4) at 65 or older (2,039/14,773). Selected social-determinant strata had higher frequencies: upbringing-related issues, 33.0% (95% CI 27.3–39.3); legal issues, 26.1% (95% CI 18.9–34.8); employment issues, 24.0% (95% CI 17.9–31.4); and family or support-group issues, 22.9% (95% CI 20.0–26.2). Small counts limit these comparisons. Missing race/ethnicity was associated with a frequency of 15.5% (46/297; 95% CI 11.8–20.0), versus 17.5% (95% CI 17.2–17.9) overall.</w:t>
      </w:r>
    </w:p>
    <w:p>
      <w:pPr>
        <w:pStyle w:val="BodyText"/>
      </w:pPr>
      <w:r>
        <w:t xml:space="preserve">Table S14. Expanded cohort characteristics by TRD proxy status. Values are median (IQR) or n (%); percentages within outcome columns use the corresponding outcome-group denominator. SMD: standardized mean difference; AD: antidepressant; ED: emergency department; MDD: major depressive disorder; PTSD: posttraumatic stress disorder. Total N=42,579; positive n=7,455; negative n=35,124.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Characteristic</w:t>
            </w:r>
          </w:p>
        </w:tc>
        <w:tc>
          <w:tcPr/>
          <w:p>
            <w:pPr>
              <w:pStyle w:val="Compact"/>
              <w:jc w:val="left"/>
            </w:pPr>
            <w:r>
              <w:rPr>
                <w:b/>
                <w:bCs/>
              </w:rPr>
              <w:t xml:space="preserve">Level</w:t>
            </w:r>
          </w:p>
        </w:tc>
        <w:tc>
          <w:tcPr/>
          <w:p>
            <w:pPr>
              <w:pStyle w:val="Compact"/>
              <w:jc w:val="left"/>
            </w:pPr>
            <w:r>
              <w:rPr>
                <w:b/>
                <w:bCs/>
              </w:rPr>
              <w:t xml:space="preserve">Overall</w:t>
            </w:r>
          </w:p>
        </w:tc>
        <w:tc>
          <w:tcPr/>
          <w:p>
            <w:pPr>
              <w:pStyle w:val="Compact"/>
              <w:jc w:val="left"/>
            </w:pPr>
            <w:r>
              <w:rPr>
                <w:b/>
                <w:bCs/>
              </w:rPr>
              <w:t xml:space="preserve">TRD+</w:t>
            </w:r>
          </w:p>
        </w:tc>
        <w:tc>
          <w:tcPr/>
          <w:p>
            <w:pPr>
              <w:pStyle w:val="Compact"/>
              <w:jc w:val="left"/>
            </w:pPr>
            <w:r>
              <w:rPr>
                <w:b/>
                <w:bCs/>
              </w:rPr>
              <w:t xml:space="preserve">TRD−</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median (IQR)</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Age band</w:t>
            </w:r>
          </w:p>
        </w:tc>
        <w:tc>
          <w:tcPr/>
          <w:p>
            <w:pPr>
              <w:pStyle w:val="Compact"/>
              <w:jc w:val="left"/>
            </w:pPr>
            <w:r>
              <w:t xml:space="preserve">18–29</w:t>
            </w:r>
          </w:p>
        </w:tc>
        <w:tc>
          <w:tcPr/>
          <w:p>
            <w:pPr>
              <w:pStyle w:val="Compact"/>
              <w:jc w:val="left"/>
            </w:pPr>
            <w:r>
              <w:t xml:space="preserve">5,513 (12.9%)</w:t>
            </w:r>
          </w:p>
        </w:tc>
        <w:tc>
          <w:tcPr/>
          <w:p>
            <w:pPr>
              <w:pStyle w:val="Compact"/>
              <w:jc w:val="left"/>
            </w:pPr>
            <w:r>
              <w:t xml:space="preserve">1,135 (15.2%)</w:t>
            </w:r>
          </w:p>
        </w:tc>
        <w:tc>
          <w:tcPr/>
          <w:p>
            <w:pPr>
              <w:pStyle w:val="Compact"/>
              <w:jc w:val="left"/>
            </w:pPr>
            <w:r>
              <w:t xml:space="preserve">4,378 (12.5%)</w:t>
            </w:r>
          </w:p>
        </w:tc>
        <w:tc>
          <w:tcPr/>
          <w:p>
            <w:pPr>
              <w:pStyle w:val="Compact"/>
              <w:jc w:val="left"/>
            </w:pPr>
            <w:r>
              <w:t xml:space="preserve">0.080</w:t>
            </w:r>
          </w:p>
        </w:tc>
      </w:tr>
      <w:tr>
        <w:tc>
          <w:tcPr/>
          <w:p>
            <w:pPr>
              <w:pStyle w:val="Compact"/>
            </w:pPr>
          </w:p>
        </w:tc>
        <w:tc>
          <w:tcPr/>
          <w:p>
            <w:pPr>
              <w:pStyle w:val="Compact"/>
              <w:jc w:val="left"/>
            </w:pPr>
            <w:r>
              <w:t xml:space="preserve">30–44</w:t>
            </w:r>
          </w:p>
        </w:tc>
        <w:tc>
          <w:tcPr/>
          <w:p>
            <w:pPr>
              <w:pStyle w:val="Compact"/>
              <w:jc w:val="left"/>
            </w:pPr>
            <w:r>
              <w:t xml:space="preserve">9,025 (21.2%)</w:t>
            </w:r>
          </w:p>
        </w:tc>
        <w:tc>
          <w:tcPr/>
          <w:p>
            <w:pPr>
              <w:pStyle w:val="Compact"/>
              <w:jc w:val="left"/>
            </w:pPr>
            <w:r>
              <w:t xml:space="preserve">1,836 (24.6%)</w:t>
            </w:r>
          </w:p>
        </w:tc>
        <w:tc>
          <w:tcPr/>
          <w:p>
            <w:pPr>
              <w:pStyle w:val="Compact"/>
              <w:jc w:val="left"/>
            </w:pPr>
            <w:r>
              <w:t xml:space="preserve">7,189 (20.5%)</w:t>
            </w:r>
          </w:p>
        </w:tc>
        <w:tc>
          <w:tcPr/>
          <w:p>
            <w:pPr>
              <w:pStyle w:val="Compact"/>
              <w:jc w:val="left"/>
            </w:pPr>
            <w:r>
              <w:t xml:space="preserve">0.100</w:t>
            </w:r>
          </w:p>
        </w:tc>
      </w:tr>
      <w:tr>
        <w:tc>
          <w:tcPr/>
          <w:p>
            <w:pPr>
              <w:pStyle w:val="Compact"/>
            </w:pPr>
          </w:p>
        </w:tc>
        <w:tc>
          <w:tcPr/>
          <w:p>
            <w:pPr>
              <w:pStyle w:val="Compact"/>
              <w:jc w:val="left"/>
            </w:pPr>
            <w:r>
              <w:t xml:space="preserve">45–64</w:t>
            </w:r>
          </w:p>
        </w:tc>
        <w:tc>
          <w:tcPr/>
          <w:p>
            <w:pPr>
              <w:pStyle w:val="Compact"/>
              <w:jc w:val="left"/>
            </w:pPr>
            <w:r>
              <w:t xml:space="preserve">13,268 (31.2%)</w:t>
            </w:r>
          </w:p>
        </w:tc>
        <w:tc>
          <w:tcPr/>
          <w:p>
            <w:pPr>
              <w:pStyle w:val="Compact"/>
              <w:jc w:val="left"/>
            </w:pPr>
            <w:r>
              <w:t xml:space="preserve">2,445 (32.8%)</w:t>
            </w:r>
          </w:p>
        </w:tc>
        <w:tc>
          <w:tcPr/>
          <w:p>
            <w:pPr>
              <w:pStyle w:val="Compact"/>
              <w:jc w:val="left"/>
            </w:pPr>
            <w:r>
              <w:t xml:space="preserve">10,823 (30.8%)</w:t>
            </w:r>
          </w:p>
        </w:tc>
        <w:tc>
          <w:tcPr/>
          <w:p>
            <w:pPr>
              <w:pStyle w:val="Compact"/>
              <w:jc w:val="left"/>
            </w:pPr>
            <w:r>
              <w:t xml:space="preserve">0.043</w:t>
            </w:r>
          </w:p>
        </w:tc>
      </w:tr>
      <w:tr>
        <w:tc>
          <w:tcPr/>
          <w:p>
            <w:pPr>
              <w:pStyle w:val="Compact"/>
            </w:pPr>
          </w:p>
        </w:tc>
        <w:tc>
          <w:tcPr/>
          <w:p>
            <w:pPr>
              <w:pStyle w:val="Compact"/>
              <w:jc w:val="left"/>
            </w:pPr>
            <w:r>
              <w:t xml:space="preserve">65+</w:t>
            </w:r>
          </w:p>
        </w:tc>
        <w:tc>
          <w:tcPr/>
          <w:p>
            <w:pPr>
              <w:pStyle w:val="Compact"/>
              <w:jc w:val="left"/>
            </w:pPr>
            <w:r>
              <w:t xml:space="preserve">14,773 (34.7%)</w:t>
            </w:r>
          </w:p>
        </w:tc>
        <w:tc>
          <w:tcPr/>
          <w:p>
            <w:pPr>
              <w:pStyle w:val="Compact"/>
              <w:jc w:val="left"/>
            </w:pPr>
            <w:r>
              <w:t xml:space="preserve">2,039 (27.4%)</w:t>
            </w:r>
          </w:p>
        </w:tc>
        <w:tc>
          <w:tcPr/>
          <w:p>
            <w:pPr>
              <w:pStyle w:val="Compact"/>
              <w:jc w:val="left"/>
            </w:pPr>
            <w:r>
              <w:t xml:space="preserve">12,734 (36.3%)</w:t>
            </w:r>
          </w:p>
        </w:tc>
        <w:tc>
          <w:tcPr/>
          <w:p>
            <w:pPr>
              <w:pStyle w:val="Compact"/>
              <w:jc w:val="left"/>
            </w:pPr>
            <w:r>
              <w:t xml:space="preserve">−0.192</w:t>
            </w:r>
          </w:p>
        </w:tc>
      </w:tr>
      <w:tr>
        <w:tc>
          <w:tcPr/>
          <w:p>
            <w:pPr>
              <w:pStyle w:val="Compact"/>
              <w:jc w:val="left"/>
            </w:pPr>
            <w:r>
              <w:t xml:space="preserve">Sex</w:t>
            </w:r>
          </w:p>
        </w:tc>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Race/ethnicity</w:t>
            </w:r>
          </w:p>
        </w:tc>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pPr>
          </w:p>
        </w:tc>
        <w:tc>
          <w:tcPr/>
          <w:p>
            <w:pPr>
              <w:pStyle w:val="Compact"/>
              <w:jc w:val="left"/>
            </w:pPr>
            <w:r>
              <w:t xml:space="preserve">Black/African American</w:t>
            </w:r>
          </w:p>
        </w:tc>
        <w:tc>
          <w:tcPr/>
          <w:p>
            <w:pPr>
              <w:pStyle w:val="Compact"/>
              <w:jc w:val="left"/>
            </w:pPr>
            <w:r>
              <w:t xml:space="preserve">2,368 (5.6%)</w:t>
            </w:r>
          </w:p>
        </w:tc>
        <w:tc>
          <w:tcPr/>
          <w:p>
            <w:pPr>
              <w:pStyle w:val="Compact"/>
              <w:jc w:val="left"/>
            </w:pPr>
            <w:r>
              <w:t xml:space="preserve">401 (5.4%)</w:t>
            </w:r>
          </w:p>
        </w:tc>
        <w:tc>
          <w:tcPr/>
          <w:p>
            <w:pPr>
              <w:pStyle w:val="Compact"/>
              <w:jc w:val="left"/>
            </w:pPr>
            <w:r>
              <w:t xml:space="preserve">1,967 (5.6%)</w:t>
            </w:r>
          </w:p>
        </w:tc>
        <w:tc>
          <w:tcPr/>
          <w:p>
            <w:pPr>
              <w:pStyle w:val="Compact"/>
              <w:jc w:val="left"/>
            </w:pPr>
            <w:r>
              <w:t xml:space="preserve">−0.010</w:t>
            </w:r>
          </w:p>
        </w:tc>
      </w:tr>
      <w:tr>
        <w:tc>
          <w:tcPr/>
          <w:p>
            <w:pPr>
              <w:pStyle w:val="Compact"/>
            </w:pPr>
          </w:p>
        </w:tc>
        <w:tc>
          <w:tcPr/>
          <w:p>
            <w:pPr>
              <w:pStyle w:val="Compact"/>
              <w:jc w:val="left"/>
            </w:pPr>
            <w:r>
              <w:t xml:space="preserve">Am. Indian/Alaska Native</w:t>
            </w:r>
          </w:p>
        </w:tc>
        <w:tc>
          <w:tcPr/>
          <w:p>
            <w:pPr>
              <w:pStyle w:val="Compact"/>
              <w:jc w:val="left"/>
            </w:pPr>
            <w:r>
              <w:t xml:space="preserve">2,033 (4.8%)</w:t>
            </w:r>
          </w:p>
        </w:tc>
        <w:tc>
          <w:tcPr/>
          <w:p>
            <w:pPr>
              <w:pStyle w:val="Compact"/>
              <w:jc w:val="left"/>
            </w:pPr>
            <w:r>
              <w:t xml:space="preserve">394 (5.3%)</w:t>
            </w:r>
          </w:p>
        </w:tc>
        <w:tc>
          <w:tcPr/>
          <w:p>
            <w:pPr>
              <w:pStyle w:val="Compact"/>
              <w:jc w:val="left"/>
            </w:pPr>
            <w:r>
              <w:t xml:space="preserve">1,639 (4.7%)</w:t>
            </w:r>
          </w:p>
        </w:tc>
        <w:tc>
          <w:tcPr/>
          <w:p>
            <w:pPr>
              <w:pStyle w:val="Compact"/>
              <w:jc w:val="left"/>
            </w:pPr>
            <w:r>
              <w:t xml:space="preserve">0.028</w:t>
            </w:r>
          </w:p>
        </w:tc>
      </w:tr>
      <w:tr>
        <w:tc>
          <w:tcPr/>
          <w:p>
            <w:pPr>
              <w:pStyle w:val="Compact"/>
            </w:pPr>
          </w:p>
        </w:tc>
        <w:tc>
          <w:tcPr/>
          <w:p>
            <w:pPr>
              <w:pStyle w:val="Compact"/>
              <w:jc w:val="left"/>
            </w:pPr>
            <w:r>
              <w:t xml:space="preserve">Missing</w:t>
            </w:r>
          </w:p>
        </w:tc>
        <w:tc>
          <w:tcPr/>
          <w:p>
            <w:pPr>
              <w:pStyle w:val="Compact"/>
              <w:jc w:val="left"/>
            </w:pPr>
            <w:r>
              <w:t xml:space="preserve">297 (0.7%)</w:t>
            </w:r>
          </w:p>
        </w:tc>
        <w:tc>
          <w:tcPr/>
          <w:p>
            <w:pPr>
              <w:pStyle w:val="Compact"/>
              <w:jc w:val="left"/>
            </w:pPr>
            <w:r>
              <w:t xml:space="preserve">46 (0.6%)</w:t>
            </w:r>
          </w:p>
        </w:tc>
        <w:tc>
          <w:tcPr/>
          <w:p>
            <w:pPr>
              <w:pStyle w:val="Compact"/>
              <w:jc w:val="left"/>
            </w:pPr>
            <w:r>
              <w:t xml:space="preserve">251 (0.7%)</w:t>
            </w:r>
          </w:p>
        </w:tc>
        <w:tc>
          <w:tcPr/>
          <w:p>
            <w:pPr>
              <w:pStyle w:val="Compact"/>
              <w:jc w:val="left"/>
            </w:pPr>
            <w:r>
              <w:t xml:space="preserve">−0.012</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MDD recurrence</w:t>
            </w:r>
          </w:p>
        </w:tc>
        <w:tc>
          <w:tcPr/>
          <w:p>
            <w:pPr>
              <w:pStyle w:val="Compact"/>
              <w:jc w:val="left"/>
            </w:pPr>
            <w:r>
              <w:t xml:space="preserve">Recurrent</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pPr>
          </w:p>
        </w:tc>
        <w:tc>
          <w:tcPr/>
          <w:p>
            <w:pPr>
              <w:pStyle w:val="Compact"/>
              <w:jc w:val="left"/>
            </w:pPr>
            <w:r>
              <w:t xml:space="preserve">Single episode</w:t>
            </w:r>
          </w:p>
        </w:tc>
        <w:tc>
          <w:tcPr/>
          <w:p>
            <w:pPr>
              <w:pStyle w:val="Compact"/>
              <w:jc w:val="left"/>
            </w:pPr>
            <w:r>
              <w:t xml:space="preserve">28,206 (66.2%)</w:t>
            </w:r>
          </w:p>
        </w:tc>
        <w:tc>
          <w:tcPr/>
          <w:p>
            <w:pPr>
              <w:pStyle w:val="Compact"/>
              <w:jc w:val="left"/>
            </w:pPr>
            <w:r>
              <w:t xml:space="preserve">4,721 (63.3%)</w:t>
            </w:r>
          </w:p>
        </w:tc>
        <w:tc>
          <w:tcPr/>
          <w:p>
            <w:pPr>
              <w:pStyle w:val="Compact"/>
              <w:jc w:val="left"/>
            </w:pPr>
            <w:r>
              <w:t xml:space="preserve">23,485 (66.9%)</w:t>
            </w:r>
          </w:p>
        </w:tc>
        <w:tc>
          <w:tcPr/>
          <w:p>
            <w:pPr>
              <w:pStyle w:val="Compact"/>
              <w:jc w:val="left"/>
            </w:pPr>
            <w:r>
              <w:t xml:space="preserve">−0.074</w:t>
            </w:r>
          </w:p>
        </w:tc>
      </w:tr>
      <w:tr>
        <w:tc>
          <w:tcPr/>
          <w:p>
            <w:pPr>
              <w:pStyle w:val="Compact"/>
              <w:jc w:val="left"/>
            </w:pPr>
            <w:r>
              <w:t xml:space="preserve">MDD severity</w:t>
            </w:r>
          </w:p>
        </w:tc>
        <w:tc>
          <w:tcPr/>
          <w:p>
            <w:pPr>
              <w:pStyle w:val="Compact"/>
              <w:jc w:val="left"/>
            </w:pPr>
            <w:r>
              <w:t xml:space="preserve">Severe</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pPr>
          </w:p>
        </w:tc>
        <w:tc>
          <w:tcPr/>
          <w:p>
            <w:pPr>
              <w:pStyle w:val="Compact"/>
              <w:jc w:val="left"/>
            </w:pPr>
            <w:r>
              <w:t xml:space="preserve">Moderate</w:t>
            </w:r>
          </w:p>
        </w:tc>
        <w:tc>
          <w:tcPr/>
          <w:p>
            <w:pPr>
              <w:pStyle w:val="Compact"/>
              <w:jc w:val="left"/>
            </w:pPr>
            <w:r>
              <w:t xml:space="preserve">7,233 (17.0%)</w:t>
            </w:r>
          </w:p>
        </w:tc>
        <w:tc>
          <w:tcPr/>
          <w:p>
            <w:pPr>
              <w:pStyle w:val="Compact"/>
              <w:jc w:val="left"/>
            </w:pPr>
            <w:r>
              <w:t xml:space="preserve">1,300 (17.4%)</w:t>
            </w:r>
          </w:p>
        </w:tc>
        <w:tc>
          <w:tcPr/>
          <w:p>
            <w:pPr>
              <w:pStyle w:val="Compact"/>
              <w:jc w:val="left"/>
            </w:pPr>
            <w:r>
              <w:t xml:space="preserve">5,933 (16.9%)</w:t>
            </w:r>
          </w:p>
        </w:tc>
        <w:tc>
          <w:tcPr/>
          <w:p>
            <w:pPr>
              <w:pStyle w:val="Compact"/>
              <w:jc w:val="left"/>
            </w:pPr>
            <w:r>
              <w:t xml:space="preserve">0.014</w:t>
            </w:r>
          </w:p>
        </w:tc>
      </w:tr>
      <w:tr>
        <w:tc>
          <w:tcPr/>
          <w:p>
            <w:pPr>
              <w:pStyle w:val="Compact"/>
            </w:pPr>
          </w:p>
        </w:tc>
        <w:tc>
          <w:tcPr/>
          <w:p>
            <w:pPr>
              <w:pStyle w:val="Compact"/>
              <w:jc w:val="left"/>
            </w:pPr>
            <w:r>
              <w:t xml:space="preserve">Psychotic</w:t>
            </w:r>
          </w:p>
        </w:tc>
        <w:tc>
          <w:tcPr/>
          <w:p>
            <w:pPr>
              <w:pStyle w:val="Compact"/>
              <w:jc w:val="left"/>
            </w:pPr>
            <w:r>
              <w:t xml:space="preserve">112 (0.3%)</w:t>
            </w:r>
          </w:p>
        </w:tc>
        <w:tc>
          <w:tcPr/>
          <w:p>
            <w:pPr>
              <w:pStyle w:val="Compact"/>
              <w:jc w:val="left"/>
            </w:pPr>
            <w:r>
              <w:t xml:space="preserve">35 (0.5%)</w:t>
            </w:r>
          </w:p>
        </w:tc>
        <w:tc>
          <w:tcPr/>
          <w:p>
            <w:pPr>
              <w:pStyle w:val="Compact"/>
              <w:jc w:val="left"/>
            </w:pPr>
            <w:r>
              <w:t xml:space="preserve">77 (0.2%)</w:t>
            </w:r>
          </w:p>
        </w:tc>
        <w:tc>
          <w:tcPr/>
          <w:p>
            <w:pPr>
              <w:pStyle w:val="Compact"/>
              <w:jc w:val="left"/>
            </w:pPr>
            <w:r>
              <w:t xml:space="preserve">0.043</w:t>
            </w:r>
          </w:p>
        </w:tc>
      </w:tr>
      <w:tr>
        <w:tc>
          <w:tcPr/>
          <w:p>
            <w:pPr>
              <w:pStyle w:val="Compact"/>
            </w:pPr>
          </w:p>
        </w:tc>
        <w:tc>
          <w:tcPr/>
          <w:p>
            <w:pPr>
              <w:pStyle w:val="Compact"/>
              <w:jc w:val="left"/>
            </w:pPr>
            <w:r>
              <w:t xml:space="preserve">Unspecified</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True</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True</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True</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True</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True</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Alcohol use disorder</w:t>
            </w:r>
          </w:p>
        </w:tc>
        <w:tc>
          <w:tcPr/>
          <w:p>
            <w:pPr>
              <w:pStyle w:val="Compact"/>
              <w:jc w:val="left"/>
            </w:pPr>
            <w:r>
              <w:t xml:space="preserve">True</w:t>
            </w:r>
          </w:p>
        </w:tc>
        <w:tc>
          <w:tcPr/>
          <w:p>
            <w:pPr>
              <w:pStyle w:val="Compact"/>
              <w:jc w:val="left"/>
            </w:pPr>
            <w:r>
              <w:t xml:space="preserve">1,875 (4.4%)</w:t>
            </w:r>
          </w:p>
        </w:tc>
        <w:tc>
          <w:tcPr/>
          <w:p>
            <w:pPr>
              <w:pStyle w:val="Compact"/>
              <w:jc w:val="left"/>
            </w:pPr>
            <w:r>
              <w:t xml:space="preserve">501 (6.7%)</w:t>
            </w:r>
          </w:p>
        </w:tc>
        <w:tc>
          <w:tcPr/>
          <w:p>
            <w:pPr>
              <w:pStyle w:val="Compact"/>
              <w:jc w:val="left"/>
            </w:pPr>
            <w:r>
              <w:t xml:space="preserve">1,374 (3.9%)</w:t>
            </w:r>
          </w:p>
        </w:tc>
        <w:tc>
          <w:tcPr/>
          <w:p>
            <w:pPr>
              <w:pStyle w:val="Compact"/>
              <w:jc w:val="left"/>
            </w:pPr>
            <w:r>
              <w:t xml:space="preserve">0.125</w:t>
            </w:r>
          </w:p>
        </w:tc>
      </w:tr>
      <w:tr>
        <w:tc>
          <w:tcPr/>
          <w:p>
            <w:pPr>
              <w:pStyle w:val="Compact"/>
              <w:jc w:val="left"/>
            </w:pPr>
            <w:r>
              <w:t xml:space="preserve">Opioid use disorder</w:t>
            </w:r>
          </w:p>
        </w:tc>
        <w:tc>
          <w:tcPr/>
          <w:p>
            <w:pPr>
              <w:pStyle w:val="Compact"/>
              <w:jc w:val="left"/>
            </w:pPr>
            <w:r>
              <w:t xml:space="preserve">True</w:t>
            </w:r>
          </w:p>
        </w:tc>
        <w:tc>
          <w:tcPr/>
          <w:p>
            <w:pPr>
              <w:pStyle w:val="Compact"/>
              <w:jc w:val="left"/>
            </w:pPr>
            <w:r>
              <w:t xml:space="preserve">1,281 (3.0%)</w:t>
            </w:r>
          </w:p>
        </w:tc>
        <w:tc>
          <w:tcPr/>
          <w:p>
            <w:pPr>
              <w:pStyle w:val="Compact"/>
              <w:jc w:val="left"/>
            </w:pPr>
            <w:r>
              <w:t xml:space="preserve">337 (4.5%)</w:t>
            </w:r>
          </w:p>
        </w:tc>
        <w:tc>
          <w:tcPr/>
          <w:p>
            <w:pPr>
              <w:pStyle w:val="Compact"/>
              <w:jc w:val="left"/>
            </w:pPr>
            <w:r>
              <w:t xml:space="preserve">944 (2.7%)</w:t>
            </w:r>
          </w:p>
        </w:tc>
        <w:tc>
          <w:tcPr/>
          <w:p>
            <w:pPr>
              <w:pStyle w:val="Compact"/>
              <w:jc w:val="left"/>
            </w:pPr>
            <w:r>
              <w:t xml:space="preserve">0.098</w:t>
            </w:r>
          </w:p>
        </w:tc>
      </w:tr>
      <w:tr>
        <w:tc>
          <w:tcPr/>
          <w:p>
            <w:pPr>
              <w:pStyle w:val="Compact"/>
              <w:jc w:val="left"/>
            </w:pPr>
            <w:r>
              <w:t xml:space="preserve">Adjustment disorder</w:t>
            </w:r>
          </w:p>
        </w:tc>
        <w:tc>
          <w:tcPr/>
          <w:p>
            <w:pPr>
              <w:pStyle w:val="Compact"/>
              <w:jc w:val="left"/>
            </w:pPr>
            <w:r>
              <w:t xml:space="preserve">True</w:t>
            </w:r>
          </w:p>
        </w:tc>
        <w:tc>
          <w:tcPr/>
          <w:p>
            <w:pPr>
              <w:pStyle w:val="Compact"/>
              <w:jc w:val="left"/>
            </w:pPr>
            <w:r>
              <w:t xml:space="preserve">2,918 (6.9%)</w:t>
            </w:r>
          </w:p>
        </w:tc>
        <w:tc>
          <w:tcPr/>
          <w:p>
            <w:pPr>
              <w:pStyle w:val="Compact"/>
              <w:jc w:val="left"/>
            </w:pPr>
            <w:r>
              <w:t xml:space="preserve">663 (8.9%)</w:t>
            </w:r>
          </w:p>
        </w:tc>
        <w:tc>
          <w:tcPr/>
          <w:p>
            <w:pPr>
              <w:pStyle w:val="Compact"/>
              <w:jc w:val="left"/>
            </w:pPr>
            <w:r>
              <w:t xml:space="preserve">2,255 (6.4%)</w:t>
            </w:r>
          </w:p>
        </w:tc>
        <w:tc>
          <w:tcPr/>
          <w:p>
            <w:pPr>
              <w:pStyle w:val="Compact"/>
              <w:jc w:val="left"/>
            </w:pPr>
            <w:r>
              <w:t xml:space="preserve">0.093</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True</w:t>
            </w:r>
          </w:p>
        </w:tc>
        <w:tc>
          <w:tcPr/>
          <w:p>
            <w:pPr>
              <w:pStyle w:val="Compact"/>
              <w:jc w:val="left"/>
            </w:pPr>
            <w:r>
              <w:t xml:space="preserve">15,747 (37.0%)</w:t>
            </w:r>
          </w:p>
        </w:tc>
        <w:tc>
          <w:tcPr/>
          <w:p>
            <w:pPr>
              <w:pStyle w:val="Compact"/>
              <w:jc w:val="left"/>
            </w:pPr>
            <w:r>
              <w:t xml:space="preserve">2,202 (29.5%)</w:t>
            </w:r>
          </w:p>
        </w:tc>
        <w:tc>
          <w:tcPr/>
          <w:p>
            <w:pPr>
              <w:pStyle w:val="Compact"/>
              <w:jc w:val="left"/>
            </w:pPr>
            <w:r>
              <w:t xml:space="preserve">13,545 (38.6%)</w:t>
            </w:r>
          </w:p>
        </w:tc>
        <w:tc>
          <w:tcPr/>
          <w:p>
            <w:pPr>
              <w:pStyle w:val="Compact"/>
              <w:jc w:val="left"/>
            </w:pPr>
            <w:r>
              <w:t xml:space="preserve">−0.191</w:t>
            </w:r>
          </w:p>
        </w:tc>
      </w:tr>
      <w:tr>
        <w:tc>
          <w:tcPr/>
          <w:p>
            <w:pPr>
              <w:pStyle w:val="Compact"/>
              <w:jc w:val="left"/>
            </w:pPr>
            <w:r>
              <w:t xml:space="preserve">Uncontrolled hypertension</w:t>
            </w:r>
          </w:p>
        </w:tc>
        <w:tc>
          <w:tcPr/>
          <w:p>
            <w:pPr>
              <w:pStyle w:val="Compact"/>
              <w:jc w:val="left"/>
            </w:pPr>
            <w:r>
              <w:t xml:space="preserve">True</w:t>
            </w:r>
          </w:p>
        </w:tc>
        <w:tc>
          <w:tcPr/>
          <w:p>
            <w:pPr>
              <w:pStyle w:val="Compact"/>
              <w:jc w:val="left"/>
            </w:pPr>
            <w:r>
              <w:t xml:space="preserve">15,680 (36.8%)</w:t>
            </w:r>
          </w:p>
        </w:tc>
        <w:tc>
          <w:tcPr/>
          <w:p>
            <w:pPr>
              <w:pStyle w:val="Compact"/>
              <w:jc w:val="left"/>
            </w:pPr>
            <w:r>
              <w:t xml:space="preserve">2,366 (31.7%)</w:t>
            </w:r>
          </w:p>
        </w:tc>
        <w:tc>
          <w:tcPr/>
          <w:p>
            <w:pPr>
              <w:pStyle w:val="Compact"/>
              <w:jc w:val="left"/>
            </w:pPr>
            <w:r>
              <w:t xml:space="preserve">13,314 (37.9%)</w:t>
            </w:r>
          </w:p>
        </w:tc>
        <w:tc>
          <w:tcPr/>
          <w:p>
            <w:pPr>
              <w:pStyle w:val="Compact"/>
              <w:jc w:val="left"/>
            </w:pPr>
            <w:r>
              <w:t xml:space="preserve">−0.130</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median (IQR)</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median (IQR)</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median (IQR)</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treatment exposure recorded</w:t>
            </w:r>
          </w:p>
        </w:tc>
        <w:tc>
          <w:tcPr/>
          <w:p>
            <w:pPr>
              <w:pStyle w:val="Compact"/>
              <w:jc w:val="left"/>
            </w:pPr>
            <w:r>
              <w:t xml:space="preserve">True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adequate AD trial (any class)</w:t>
            </w:r>
          </w:p>
        </w:tc>
        <w:tc>
          <w:tcPr/>
          <w:p>
            <w:pPr>
              <w:pStyle w:val="Compact"/>
              <w:jc w:val="left"/>
            </w:pPr>
            <w:r>
              <w:t xml:space="preserve">True</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r>
        <w:tc>
          <w:tcPr/>
          <w:p>
            <w:pPr>
              <w:pStyle w:val="Compact"/>
              <w:jc w:val="left"/>
            </w:pPr>
            <w:r>
              <w:t xml:space="preserve">Benzodiazepine days recorded</w:t>
            </w:r>
          </w:p>
        </w:tc>
        <w:tc>
          <w:tcPr/>
          <w:p>
            <w:pPr>
              <w:pStyle w:val="Compact"/>
              <w:jc w:val="left"/>
            </w:pPr>
            <w:r>
              <w:t xml:space="preserve">True</w:t>
            </w:r>
          </w:p>
        </w:tc>
        <w:tc>
          <w:tcPr/>
          <w:p>
            <w:pPr>
              <w:pStyle w:val="Compact"/>
              <w:jc w:val="left"/>
            </w:pPr>
            <w:r>
              <w:t xml:space="preserve">4,724 (11.1%)</w:t>
            </w:r>
          </w:p>
        </w:tc>
        <w:tc>
          <w:tcPr/>
          <w:p>
            <w:pPr>
              <w:pStyle w:val="Compact"/>
              <w:jc w:val="left"/>
            </w:pPr>
            <w:r>
              <w:t xml:space="preserve">989 (13.3%)</w:t>
            </w:r>
          </w:p>
        </w:tc>
        <w:tc>
          <w:tcPr/>
          <w:p>
            <w:pPr>
              <w:pStyle w:val="Compact"/>
              <w:jc w:val="left"/>
            </w:pPr>
            <w:r>
              <w:t xml:space="preserve">3,735 (10.6%)</w:t>
            </w:r>
          </w:p>
        </w:tc>
        <w:tc>
          <w:tcPr/>
          <w:p>
            <w:pPr>
              <w:pStyle w:val="Compact"/>
              <w:jc w:val="left"/>
            </w:pPr>
            <w:r>
              <w:t xml:space="preserve">0.081</w:t>
            </w:r>
          </w:p>
        </w:tc>
      </w:tr>
      <w:tr>
        <w:tc>
          <w:tcPr/>
          <w:p>
            <w:pPr>
              <w:pStyle w:val="Compact"/>
              <w:jc w:val="left"/>
            </w:pPr>
            <w:r>
              <w:t xml:space="preserve">Hypnotic recorded</w:t>
            </w:r>
          </w:p>
        </w:tc>
        <w:tc>
          <w:tcPr/>
          <w:p>
            <w:pPr>
              <w:pStyle w:val="Compact"/>
              <w:jc w:val="left"/>
            </w:pPr>
            <w:r>
              <w:t xml:space="preserve">True</w:t>
            </w:r>
          </w:p>
        </w:tc>
        <w:tc>
          <w:tcPr/>
          <w:p>
            <w:pPr>
              <w:pStyle w:val="Compact"/>
              <w:jc w:val="left"/>
            </w:pPr>
            <w:r>
              <w:t xml:space="preserve">1,661 (3.9%)</w:t>
            </w:r>
          </w:p>
        </w:tc>
        <w:tc>
          <w:tcPr/>
          <w:p>
            <w:pPr>
              <w:pStyle w:val="Compact"/>
              <w:jc w:val="left"/>
            </w:pPr>
            <w:r>
              <w:t xml:space="preserve">292 (3.9%)</w:t>
            </w:r>
          </w:p>
        </w:tc>
        <w:tc>
          <w:tcPr/>
          <w:p>
            <w:pPr>
              <w:pStyle w:val="Compact"/>
              <w:jc w:val="left"/>
            </w:pPr>
            <w:r>
              <w:t xml:space="preserve">1,369 (3.9%)</w:t>
            </w:r>
          </w:p>
        </w:tc>
        <w:tc>
          <w:tcPr/>
          <w:p>
            <w:pPr>
              <w:pStyle w:val="Compact"/>
              <w:jc w:val="left"/>
            </w:pPr>
            <w:r>
              <w:t xml:space="preserve">0.001</w:t>
            </w:r>
          </w:p>
        </w:tc>
      </w:tr>
      <w:tr>
        <w:tc>
          <w:tcPr/>
          <w:p>
            <w:pPr>
              <w:pStyle w:val="Compact"/>
              <w:jc w:val="left"/>
            </w:pPr>
            <w:r>
              <w:t xml:space="preserve">Augmentation therapy used</w:t>
            </w:r>
          </w:p>
        </w:tc>
        <w:tc>
          <w:tcPr/>
          <w:p>
            <w:pPr>
              <w:pStyle w:val="Compact"/>
              <w:jc w:val="left"/>
            </w:pPr>
            <w:r>
              <w:t xml:space="preserve">True</w:t>
            </w:r>
          </w:p>
        </w:tc>
        <w:tc>
          <w:tcPr/>
          <w:p>
            <w:pPr>
              <w:pStyle w:val="Compact"/>
              <w:jc w:val="left"/>
            </w:pPr>
            <w:r>
              <w:t xml:space="preserve">422 (1.0%)</w:t>
            </w:r>
          </w:p>
        </w:tc>
        <w:tc>
          <w:tcPr/>
          <w:p>
            <w:pPr>
              <w:pStyle w:val="Compact"/>
              <w:jc w:val="left"/>
            </w:pPr>
            <w:r>
              <w:t xml:space="preserve">108 (1.4%)</w:t>
            </w:r>
          </w:p>
        </w:tc>
        <w:tc>
          <w:tcPr/>
          <w:p>
            <w:pPr>
              <w:pStyle w:val="Compact"/>
              <w:jc w:val="left"/>
            </w:pPr>
            <w:r>
              <w:t xml:space="preserve">314 (0.9%)</w:t>
            </w:r>
          </w:p>
        </w:tc>
        <w:tc>
          <w:tcPr/>
          <w:p>
            <w:pPr>
              <w:pStyle w:val="Compact"/>
              <w:jc w:val="left"/>
            </w:pPr>
            <w:r>
              <w:t xml:space="preserve">0.052</w:t>
            </w:r>
          </w:p>
        </w:tc>
      </w:tr>
    </w:tbl>
    <w:bookmarkEnd w:id="175"/>
    <w:bookmarkStart w:id="206" w:name="_3b319a28540a2eebde7c4dc81a578fb022a8db8"/>
    <w:p>
      <w:pPr>
        <w:pStyle w:val="Heading1"/>
      </w:pPr>
      <w:r>
        <w:t xml:space="preserve">S12 Additional Model Diagnostics and Encoder Estimates</w:t>
      </w:r>
    </w:p>
    <w:bookmarkStart w:id="188" w:name="_5b8a779de4102ca75eefec1c07ca7681b858af1"/>
    <w:p>
      <w:pPr>
        <w:pStyle w:val="Heading2"/>
      </w:pPr>
      <w:r>
        <w:t xml:space="preserve">S12.1 Primary ROC Curves and Descriptive Operating Points</w:t>
      </w:r>
    </w:p>
    <w:p>
      <w:pPr>
        <w:pStyle w:val="FirstParagraph"/>
      </w:pPr>
      <w:r>
        <w:t xml:space="preserve">The primary ROC curves are shown in Figure S12. At test-selected Youden J thresholds of 0.165 and 0.173, embedded logistic regression and feature-vector XGBoost had sensitivity 0.647 (95% CI 0.623–0.670) and 0.615 (95% CI 0.591–0.638) and specificity 0.583 (95% CI 0.570–0.594) and 0.606 (95% CI 0.594–0.618). Their F scores were 0.36 (95% CI 0.34–0.37) and 0.35 (95% CI 0.34–0.37), positive likelihood ratios 1.55 (95% CI 1.48–1.62) and 1.56 (95% CI 1.48–1.63), and negative likelihood ratios 0.61 (95% CI 0.56–0.65) and 0.64 (95% CI 0.60–0.68). They identified 964 and 917 of 1,491 positive patients, missing 527 and 574, with 2,932 and 2,768 false positives and 4,093 and 4,257 true negatives among 7,025 negative patients, respectively (Figure S13).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77" name="Picture"/>
            <a:graphic>
              <a:graphicData uri="http://schemas.openxmlformats.org/drawingml/2006/picture">
                <pic:pic>
                  <pic:nvPicPr>
                    <pic:cNvPr descr="../exports/results/Qwen-Qwen3-Embedding-8B/google_medgemma-27b-text-it/roc_curves/roc_curve_logistic_regression_EMBEDDED.png" id="178" name="Picture"/>
                    <pic:cNvPicPr>
                      <a:picLocks noChangeArrowheads="1" noChangeAspect="1"/>
                    </pic:cNvPicPr>
                  </pic:nvPicPr>
                  <pic:blipFill>
                    <a:blip r:embed="rId17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80" name="Picture"/>
            <a:graphic>
              <a:graphicData uri="http://schemas.openxmlformats.org/drawingml/2006/picture">
                <pic:pic>
                  <pic:nvPicPr>
                    <pic:cNvPr descr="../exports/results/Qwen-Qwen3-Embedding-8B/google_medgemma-27b-text-it/roc_curves/roc_curve_xgboost_FEATURE.png" id="181" name="Picture"/>
                    <pic:cNvPicPr>
                      <a:picLocks noChangeArrowheads="1" noChangeAspect="1"/>
                    </pic:cNvPicPr>
                  </pic:nvPicPr>
                  <pic:blipFill>
                    <a:blip r:embed="rId17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S12.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183" name="Picture"/>
            <a:graphic>
              <a:graphicData uri="http://schemas.openxmlformats.org/drawingml/2006/picture">
                <pic:pic>
                  <pic:nvPicPr>
                    <pic:cNvPr descr="../exports/results/Qwen-Qwen3-Embedding-8B/google_medgemma-27b-text-it/confusion_matrices/confusion_matrix_logistic_regression_EMBEDDED.png" id="184" name="Picture"/>
                    <pic:cNvPicPr>
                      <a:picLocks noChangeArrowheads="1" noChangeAspect="1"/>
                    </pic:cNvPicPr>
                  </pic:nvPicPr>
                  <pic:blipFill>
                    <a:blip r:embed="rId18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86" name="Picture"/>
            <a:graphic>
              <a:graphicData uri="http://schemas.openxmlformats.org/drawingml/2006/picture">
                <pic:pic>
                  <pic:nvPicPr>
                    <pic:cNvPr descr="../exports/results/Qwen-Qwen3-Embedding-8B/google_medgemma-27b-text-it/confusion_matrices/confusion_matrix_xgboost_FEATURE.png" id="187" name="Picture"/>
                    <pic:cNvPicPr>
                      <a:picLocks noChangeArrowheads="1" noChangeAspect="1"/>
                    </pic:cNvPicPr>
                  </pic:nvPicPr>
                  <pic:blipFill>
                    <a:blip r:embed="rId18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S13. Confusion matrices at test-selected Youden J thresholds for embedded logistic regression (A) and feature-vector XGBoost (B). TRD refers to the treatment-switching proxy.</w:t>
      </w:r>
    </w:p>
    <w:bookmarkEnd w:id="188"/>
    <w:bookmarkStart w:id="201" w:name="_5a6a39393feced4ecfd88c612f38c214cb95258"/>
    <w:p>
      <w:pPr>
        <w:pStyle w:val="Heading2"/>
      </w:pPr>
      <w:r>
        <w:t xml:space="preserve">S12.2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S14).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190" name="Picture"/>
            <a:graphic>
              <a:graphicData uri="http://schemas.openxmlformats.org/drawingml/2006/picture">
                <pic:pic>
                  <pic:nvPicPr>
                    <pic:cNvPr descr="../exports/results/Qwen-Qwen3-Embedding-8B/google_medgemma-27b-text-it/feature_importance/feature_importance_logistic_regression.png" id="191" name="Picture"/>
                    <pic:cNvPicPr>
                      <a:picLocks noChangeArrowheads="1" noChangeAspect="1"/>
                    </pic:cNvPicPr>
                  </pic:nvPicPr>
                  <pic:blipFill>
                    <a:blip r:embed="rId189"/>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193" name="Picture"/>
            <a:graphic>
              <a:graphicData uri="http://schemas.openxmlformats.org/drawingml/2006/picture">
                <pic:pic>
                  <pic:nvPicPr>
                    <pic:cNvPr descr="../exports/results/Qwen-Qwen3-Embedding-8B/google_medgemma-27b-text-it/feature_importance/feature_importance_random_forest.png" id="194" name="Picture"/>
                    <pic:cNvPicPr>
                      <a:picLocks noChangeArrowheads="1" noChangeAspect="1"/>
                    </pic:cNvPicPr>
                  </pic:nvPicPr>
                  <pic:blipFill>
                    <a:blip r:embed="rId19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C Gradient boosting</w:t>
      </w:r>
    </w:p>
    <w:p>
      <w:pPr>
        <w:pStyle w:val="BodyText"/>
      </w:pPr>
      <w:r>
        <w:drawing>
          <wp:inline>
            <wp:extent cx="5212080" cy="3179368"/>
            <wp:effectExtent b="0" l="0" r="0" t="0"/>
            <wp:docPr descr="" title="" id="196" name="Picture"/>
            <a:graphic>
              <a:graphicData uri="http://schemas.openxmlformats.org/drawingml/2006/picture">
                <pic:pic>
                  <pic:nvPicPr>
                    <pic:cNvPr descr="../exports/results/Qwen-Qwen3-Embedding-8B/google_medgemma-27b-text-it/feature_importance/feature_importance_gradient_boosting.png" id="197" name="Picture"/>
                    <pic:cNvPicPr>
                      <a:picLocks noChangeArrowheads="1" noChangeAspect="1"/>
                    </pic:cNvPicPr>
                  </pic:nvPicPr>
                  <pic:blipFill>
                    <a:blip r:embed="rId195"/>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199" name="Picture"/>
            <a:graphic>
              <a:graphicData uri="http://schemas.openxmlformats.org/drawingml/2006/picture">
                <pic:pic>
                  <pic:nvPicPr>
                    <pic:cNvPr descr="../exports/results/Qwen-Qwen3-Embedding-8B/google_medgemma-27b-text-it/feature_importance/feature_importance_xgboost.png" id="200" name="Picture"/>
                    <pic:cNvPicPr>
                      <a:picLocks noChangeArrowheads="1" noChangeAspect="1"/>
                    </pic:cNvPicPr>
                  </pic:nvPicPr>
                  <pic:blipFill>
                    <a:blip r:embed="rId198"/>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S14. Structured feature importance for logistic regression (A), random forest (B), gradient boosting (C), and XGBoost (D). Logistic-regression bars show signed coefficients. Tree bars show native importance; colors reflect univariate associations, not conditional model effects or causal directions.</w:t>
      </w:r>
    </w:p>
    <w:bookmarkEnd w:id="201"/>
    <w:bookmarkStart w:id="205" w:name="_9c90e6317a1eb1fb56099f7747be04e13f0dc6a"/>
    <w:p>
      <w:pPr>
        <w:pStyle w:val="Heading2"/>
      </w:pPr>
      <w:r>
        <w:t xml:space="preserve">S12.3 Concept Permutation and Encoder Comparison</w:t>
      </w:r>
    </w:p>
    <w:p>
      <w:pPr>
        <w:pStyle w:val="FirstParagraph"/>
      </w:pPr>
      <w:r>
        <w:t xml:space="preserve">In the primary encoder, psychiatric-history permutation reduced AUC by 0.024 (95% CI 0.010–0.036) to 0.028 (95% CI 0.017–0.039) across classifiers; all paired CIs excluded zero. Medication burden reduced AUC by 0.003 (95% CI −0.004 to 0.011) to 0.027 (95% CI 0.018–0.037), with CIs excluding zero for 3 classifiers. Prior treatment reduced embedded logistic-regression AUC by 0.019 (95% CI 0.011–0.027) and the other models by 0.000 (95% CI −0.009 to 0.008) to 0.011 (95% CI 0.003–0.020), with CIs excluding zero for logistic regression and XGBoost. Among the remaining concepts, only the XGBoost contraindication contrast excluded zero (−0.005; 95% CI −0.008 to −0.001). Main-text Table 3 gives every difference with its paired CI; Figure S15 gives each model’s absolute AUC.</w:t>
      </w:r>
    </w:p>
    <w:p>
      <w:pPr>
        <w:pStyle w:val="BodyText"/>
      </w:pPr>
      <w:r>
        <w:drawing>
          <wp:inline>
            <wp:extent cx="5486400" cy="4059936"/>
            <wp:effectExtent b="0" l="0" r="0" t="0"/>
            <wp:docPr descr="" title="" id="203" name="Picture"/>
            <a:graphic>
              <a:graphicData uri="http://schemas.openxmlformats.org/drawingml/2006/picture">
                <pic:pic>
                  <pic:nvPicPr>
                    <pic:cNvPr descr="../exports/results/Qwen-Qwen3-Embedding-8B/google_medgemma-27b-text-it/ablation_roc_ci_EMBEDDED.png" id="204" name="Picture"/>
                    <pic:cNvPicPr>
                      <a:picLocks noChangeArrowheads="1" noChangeAspect="1"/>
                    </pic:cNvPicPr>
                  </pic:nvPicPr>
                  <pic:blipFill>
                    <a:blip r:embed="rId202"/>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S15.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 (95% CI 0.017–0.036) to 0.030 (95% CI 0.019–0.041) and medication-burden permutation by 0.022 (95% CI 0.013–0.032) to 0.034 (95% CI 0.023–0.044), with all paired CIs excluding zero. Medication burden exceeded psychiatric history in bge-en-icl (−0.034, 95% CI −0.044 to −0.023, versus −0.027, 95% CI −0.036 to −0.017);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Encoder</w:t>
            </w:r>
          </w:p>
        </w:tc>
        <w:tc>
          <w:tcPr/>
          <w:p>
            <w:pPr>
              <w:pStyle w:val="Compact"/>
              <w:jc w:val="left"/>
            </w:pPr>
            <w:r>
              <w:rPr>
                <w:b/>
                <w:bCs/>
              </w:rPr>
              <w:t xml:space="preserve">Dimensions</w:t>
            </w:r>
          </w:p>
        </w:tc>
        <w:tc>
          <w:tcPr/>
          <w:p>
            <w:pPr>
              <w:pStyle w:val="Compact"/>
              <w:jc w:val="left"/>
            </w:pPr>
            <w:r>
              <w:rPr>
                <w:b/>
                <w:bCs/>
              </w:rPr>
              <w:t xml:space="preserve">EPV</w:t>
            </w:r>
          </w:p>
        </w:tc>
        <w:tc>
          <w:tcPr/>
          <w:p>
            <w:pPr>
              <w:pStyle w:val="Compact"/>
              <w:jc w:val="left"/>
            </w:pPr>
            <w:r>
              <w:rPr>
                <w:b/>
                <w:bCs/>
              </w:rPr>
              <w:t xml:space="preserve">ROC AUC (95% CI)</w:t>
            </w:r>
          </w:p>
        </w:tc>
      </w:tr>
      <w:tr>
        <w:tc>
          <w:tcPr/>
          <w:p>
            <w:pPr>
              <w:pStyle w:val="Compact"/>
              <w:jc w:val="left"/>
            </w:pPr>
            <w:r>
              <w:t xml:space="preserve">bge-small-en-v1.5</w:t>
            </w:r>
          </w:p>
        </w:tc>
        <w:tc>
          <w:tcPr/>
          <w:p>
            <w:pPr>
              <w:pStyle w:val="Compact"/>
              <w:jc w:val="left"/>
            </w:pPr>
            <w:r>
              <w:t xml:space="preserve">384</w:t>
            </w:r>
          </w:p>
        </w:tc>
        <w:tc>
          <w:tcPr/>
          <w:p>
            <w:pPr>
              <w:pStyle w:val="Compact"/>
              <w:jc w:val="left"/>
            </w:pPr>
            <w:r>
              <w:t xml:space="preserve">15.5</w:t>
            </w:r>
          </w:p>
        </w:tc>
        <w:tc>
          <w:tcPr/>
          <w:p>
            <w:pPr>
              <w:pStyle w:val="Compact"/>
              <w:jc w:val="left"/>
            </w:pPr>
            <w:r>
              <w:t xml:space="preserve">0.645 (0.629–0.660)</w:t>
            </w:r>
          </w:p>
        </w:tc>
      </w:tr>
      <w:tr>
        <w:tc>
          <w:tcPr/>
          <w:p>
            <w:pPr>
              <w:pStyle w:val="Compact"/>
              <w:jc w:val="left"/>
            </w:pPr>
            <w:r>
              <w:t xml:space="preserve">bge-en-icl</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0.655 (0.641–0.670)</w:t>
            </w:r>
          </w:p>
        </w:tc>
      </w:tr>
      <w:tr>
        <w:tc>
          <w:tcPr/>
          <w:p>
            <w:pPr>
              <w:pStyle w:val="Compact"/>
              <w:jc w:val="left"/>
            </w:pPr>
            <w:r>
              <w:t xml:space="preserve">Qwen3-Embedding-4B</w:t>
            </w:r>
          </w:p>
        </w:tc>
        <w:tc>
          <w:tcPr/>
          <w:p>
            <w:pPr>
              <w:pStyle w:val="Compact"/>
              <w:jc w:val="left"/>
            </w:pPr>
            <w:r>
              <w:t xml:space="preserve">2,560</w:t>
            </w:r>
          </w:p>
        </w:tc>
        <w:tc>
          <w:tcPr/>
          <w:p>
            <w:pPr>
              <w:pStyle w:val="Compact"/>
              <w:jc w:val="left"/>
            </w:pPr>
            <w:r>
              <w:t xml:space="preserve">2.3</w:t>
            </w:r>
          </w:p>
        </w:tc>
        <w:tc>
          <w:tcPr/>
          <w:p>
            <w:pPr>
              <w:pStyle w:val="Compact"/>
              <w:jc w:val="left"/>
            </w:pPr>
            <w:r>
              <w:t xml:space="preserve">0.655 (0.641–0.670)</w:t>
            </w:r>
          </w:p>
        </w:tc>
      </w:tr>
      <w:tr>
        <w:tc>
          <w:tcPr/>
          <w:p>
            <w:pPr>
              <w:pStyle w:val="Compact"/>
              <w:jc w:val="left"/>
            </w:pPr>
            <w:r>
              <w:t xml:space="preserve">Qwen3-Embedding-8B</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0.657 (0.643–0.672)</w:t>
            </w:r>
          </w:p>
        </w:tc>
      </w:tr>
    </w:tbl>
    <w:bookmarkEnd w:id="205"/>
    <w:bookmarkEnd w:id="206"/>
    <w:bookmarkStart w:id="207" w:name="_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bookmarkEnd w:id="207"/>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202" Target="media/rId202.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86" Target="media/rId86.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195" Target="media/rId195.png" /><Relationship Type="http://schemas.openxmlformats.org/officeDocument/2006/relationships/image" Id="rId189" Target="media/rId189.png" /><Relationship Type="http://schemas.openxmlformats.org/officeDocument/2006/relationships/image" Id="rId37" Target="media/rId3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192" Target="media/rId192.png" /><Relationship Type="http://schemas.openxmlformats.org/officeDocument/2006/relationships/image" Id="rId198" Target="media/rId198.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77" Target="media/rId77.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161" Target="media/rId161.png" /><Relationship Type="http://schemas.openxmlformats.org/officeDocument/2006/relationships/image" Id="rId169" Target="media/rId1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2026-10-06T11:09:28Z</dcterms:created>
  <dcterms:modified xsi:type="dcterms:W3CDTF">2026-10-06T11:09:28Z</dcterms:modified>
</cp:coreProperties>
</file>

<file path=docProps/custom.xml><?xml version="1.0" encoding="utf-8"?>
<Properties xmlns="http://schemas.openxmlformats.org/officeDocument/2006/custom-properties" xmlns:vt="http://schemas.openxmlformats.org/officeDocument/2006/docPropsVTypes"/>
</file>