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6.png" ContentType="image/png"/>
  <Override PartName="/word/media/rId45.png" ContentType="image/png"/>
  <Override PartName="/word/media/rId41.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Katherine L. Forthman, MS¹; Rayus Kuplicki, PhD¹;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Katherine L. Forthman 0000-0002-8695-8388</w:t>
      </w:r>
    </w:p>
    <w:p>
      <w:pPr>
        <w:pStyle w:val="BodyText"/>
      </w:pPr>
      <w:r>
        <w:t xml:space="preserve">Rayus Kuplicki 0000-0003-2954-6421</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template-generated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results that name no encoder are for Qwen3-Embedding-8B.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Qwen3-Embedding-8B,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template-generated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4"/>
    <w:bookmarkStart w:id="35"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in Multimedia Appendix 1, sections M1–M2. We used TRIPOD+AI to guide reporting [19].</w:t>
      </w:r>
    </w:p>
    <w:bookmarkEnd w:id="25"/>
    <w:bookmarkStart w:id="29"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27" name="Picture"/>
            <a:graphic>
              <a:graphicData uri="http://schemas.openxmlformats.org/drawingml/2006/picture">
                <pic:pic>
                  <pic:nvPicPr>
                    <pic:cNvPr descr="../results/Qwen-Qwen3-Embedding-8B/google_medgemma-27b-text-it/time_zero_timeline.png" id="28" name="Picture"/>
                    <pic:cNvPicPr>
                      <a:picLocks noChangeArrowheads="1" noChangeAspect="1"/>
                    </pic:cNvPicPr>
                  </pic:nvPicPr>
                  <pic:blipFill>
                    <a:blip r:embed="rId26"/>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9"/>
    <w:bookmarkStart w:id="30"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30"/>
    <w:bookmarkStart w:id="31"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[22-25]. Results that name no encoder are for Qwen3-Embedding-8B.</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31"/>
    <w:bookmarkStart w:id="32"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32"/>
    <w:bookmarkStart w:id="33"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for Qwen3-Embedding-8B,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3"/>
    <w:bookmarkStart w:id="34"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4"/>
    <w:bookmarkEnd w:id="35"/>
    <w:bookmarkStart w:id="54" w:name="results"/>
    <w:p>
      <w:pPr>
        <w:pStyle w:val="Heading1"/>
      </w:pPr>
      <w:r>
        <w:t xml:space="preserve">Results</w:t>
      </w:r>
    </w:p>
    <w:bookmarkStart w:id="36"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6"/>
    <w:bookmarkStart w:id="40"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38" name="Picture"/>
            <a:graphic>
              <a:graphicData uri="http://schemas.openxmlformats.org/drawingml/2006/picture">
                <pic:pic>
                  <pic:nvPicPr>
                    <pic:cNvPr descr="../results/Qwen-Qwen3-Embedding-8B/google_medgemma-27b-text-it/discrimination_forest_EMBEDDED_vs_FEATURE.png" id="39" name="Picture"/>
                    <pic:cNvPicPr>
                      <a:picLocks noChangeArrowheads="1" noChangeAspect="1"/>
                    </pic:cNvPicPr>
                  </pic:nvPicPr>
                  <pic:blipFill>
                    <a:blip r:embed="rId37"/>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40"/>
    <w:bookmarkStart w:id="44" w:name="X63f7a4acd42581b8799fc792085d5dd77d614be"/>
    <w:p>
      <w:pPr>
        <w:pStyle w:val="Heading2"/>
      </w:pPr>
      <w:r>
        <w:t xml:space="preserve">Clinical Contributions and Encoder Robustness</w:t>
      </w:r>
    </w:p>
    <w:p>
      <w:pPr>
        <w:pStyle w:val="FirstParagraph"/>
      </w:pPr>
      <w:r>
        <w:t xml:space="preserve">For Qwen3-Embedding-8B,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42" name="Picture"/>
            <a:graphic>
              <a:graphicData uri="http://schemas.openxmlformats.org/drawingml/2006/picture">
                <pic:pic>
                  <pic:nvPicPr>
                    <pic:cNvPr descr="../results/cross_embedder_robustness_EMBEDDED.png" id="43" name="Picture"/>
                    <pic:cNvPicPr>
                      <a:picLocks noChangeArrowheads="1" noChangeAspect="1"/>
                    </pic:cNvPicPr>
                  </pic:nvPicPr>
                  <pic:blipFill>
                    <a:blip r:embed="rId41"/>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44"/>
    <w:bookmarkStart w:id="48" w:name="nearest-neighbor-retrieval"/>
    <w:p>
      <w:pPr>
        <w:pStyle w:val="Heading2"/>
      </w:pPr>
      <w:r>
        <w:t xml:space="preserve">Nearest-Neighbor Retrieval</w:t>
      </w:r>
    </w:p>
    <w:p>
      <w:pPr>
        <w:pStyle w:val="FirstParagraph"/>
      </w:pPr>
      <w:r>
        <w:t xml:space="preserve">Retrieval is reported as a curve over neighborhood size (Figure 4D for Qwen3-Embedding-8B).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These stay above chance because each neighbor’s vote is weighted by its similarity, so the same 34,063 neighbors are weighed differently for each patient. With equal weights, every patient would get the same score and ROC AUC would be exactly 0.5, which is what random retrieval gave at k = 34,063. ROC curves and confusion matrices at each arm’s best k are in Multimedia Appendix 1, section S6.</w:t>
      </w:r>
    </w:p>
    <w:p>
      <w:pPr>
        <w:pStyle w:val="BodyText"/>
      </w:pPr>
      <w:r>
        <w:drawing>
          <wp:inline>
            <wp:extent cx="5486400" cy="5035534"/>
            <wp:effectExtent b="0" l="0" r="0" t="0"/>
            <wp:docPr descr="" title="" id="46" name="Picture"/>
            <a:graphic>
              <a:graphicData uri="http://schemas.openxmlformats.org/drawingml/2006/picture">
                <pic:pic>
                  <pic:nvPicPr>
                    <pic:cNvPr descr="../results/cross_embedder_retrieval/neighbor_count_sweep_panels.png" id="47" name="Picture"/>
                    <pic:cNvPicPr>
                      <a:picLocks noChangeArrowheads="1" noChangeAspect="1"/>
                    </pic:cNvPicPr>
                  </pic:nvPicPr>
                  <pic:blipFill>
                    <a:blip r:embed="rId45"/>
                    <a:stretch>
                      <a:fillRect/>
                    </a:stretch>
                  </pic:blipFill>
                  <pic:spPr bwMode="auto">
                    <a:xfrm>
                      <a:off x="0" y="0"/>
                      <a:ext cx="5486400" cy="5035534"/>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for the 4 encoders: (A) bge-small-en-v1.5, (B) bge-en-icl, (C) Qwen3-Embedding-4B, and (D) Qwen3-Embedding-8B. Each panel title gives the encoder’s number of embedding dimensions. Each panel draws ROC AUC in 8,516 test patients at every k from 1 to 34,063. Lines are the retrieval arms: logistic-regression-weighted and plain cosine retrieval with bootstrap 95% bands, and random retrieval with uniform weights, as the mean across 1,000 draws within the 2.5th–97.5th percentile of the draws. Each encoder’s weights come from its own embedded logistic regression. Random retrieval does not use the embedding, so it is the same in every panel. Diamonds mark each arm’s best k, chosen on the test patients, so the values there are optimistic; the random arm’s best k is noise. Each panel’s best-k values are listed beneath it. Horizontal lines mark that encoder’s embedded logistic regression and feature-vector XGBoost, which is the same in every panel. Curves use α = 1; for Qwen3-Embedding-8B, the maxima under α = 1, 2, and 5 agreed within 0.002.</w:t>
      </w:r>
    </w:p>
    <w:bookmarkEnd w:id="48"/>
    <w:bookmarkStart w:id="49"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4A–D).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Qwen3-Embedding-8B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Qwen3-Embedding-8B’s difference was tested, 0.007 (95% CI −0.001 to 0.014), and its interval includes zero. Agreement in direction across 4 encoders does not show that weighting helps, because each maximum was read at its own best k.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t xml:space="preserve">Best k followed no clear pattern. Two encoders with the same 4,096 dimensions moved in opposite directions when weighting was added: best k rose from 413 to 1,519 for bge-en-icl and fell from 757 to 295 for Qwen3-Embedding-8B. The curves were flat near their peaks, which accounts for much of this. For every encoder and metric, ROC AUC stayed within 0.005 of its maximum over a wide range of k. That range began between k = 164 and 549 and ended between k = 1,613 and the whole pool of 34,063. These ranges describe the observed curves and carry no sampling interval. On a curve this flat, a small change in the patients can move the best k a long way while barely changing ROC AUC. The range of k that performs near the peak is more informative than the single best k.</w:t>
      </w:r>
    </w:p>
    <w:p>
      <w:pPr>
        <w:pStyle w:val="BodyText"/>
      </w:pPr>
      <w:r>
        <w:t xml:space="preserve">Best k also did not follow how many embedding dimensions each logistic regression relied on, whether counted directly or as a share of the encoder’s dimensions (Multimedia Appendix 1, section S6, Figures S10–S11).</w:t>
      </w:r>
    </w:p>
    <w:bookmarkEnd w:id="49"/>
    <w:bookmarkStart w:id="53" w:name="subgroup-performance"/>
    <w:p>
      <w:pPr>
        <w:pStyle w:val="Heading2"/>
      </w:pPr>
      <w:r>
        <w:t xml:space="preserve">Subgroup Performance</w:t>
      </w:r>
    </w:p>
    <w:p>
      <w:pPr>
        <w:pStyle w:val="FirstParagraph"/>
      </w:pPr>
      <w:r>
        <w:t xml:space="preserve">Subgroup analyses covered all 8 classifiers and both nearest-neighbor arms, for Qwen3-Embedding-8B; each retrieval arm was scored at its best k. Each contrast compared one group’s ROC AUC with that of all other test patients, for the same model. The groups were of 2 kinds. Sociodemographic groups (sex, race, age, marital status, smoking, and religion) ask whether the models work equally well for different people. Clinical groups (MDD recurrence and severity) ask whether they work equally well across ways the illness was recorded.</w:t>
      </w:r>
    </w:p>
    <w:p>
      <w:pPr>
        <w:pStyle w:val="BodyText"/>
      </w:pPr>
      <w:r>
        <w:t xml:space="preserve">Of 240 contrasts, 23 survived Benjamini–Hochberg adjustment for multiple comparisons, and both kinds of group contributed (Figure 5). Nineteen were clinical, all involving recurrence. Every model discriminated better in patients coded with recurrent depression, by +0.053 (95% CI +0.022 to +0.085) to +0.072 (95% CI +0.041 to +0.104). Nine of 10 discriminated worse in patients coded with a single episode, by −0.047 (95% CI −0.079 to −0.014) to −0.071 (95% CI −0.105 to −0.039). These describe how the illness was recorded, not who the patients are, so they are not fairness findings.</w:t>
      </w:r>
    </w:p>
    <w:p>
      <w:pPr>
        <w:pStyle w:val="BodyText"/>
      </w:pPr>
      <w:r>
        <w:t xml:space="preserve">The other 4 were sociodemographic. Discrimination was lower among never-married patients for 2 embedded classifiers and logistic-regression-weighted retrieval, by −0.047 (95% CI −0.080 to −0.012) to −0.054 (95% CI −0.090 to −0.019). It was lower among patients aged 18–29 for feature-vector XGBoost, by −0.068 (95% CI −0.117 to −0.022). Sex contrasts did not show clear differences. White-minus-non-White ROC AUC differences were consistently positive, from +0.005 (95% CI −0.031 to +0.042) to +0.046 (95% CI +0.006 to +0.087), but none survived adjustment. These findings do not establish equitable performance. Calibration within each subgroup is in Multimedia Appendix 1, section S9.</w:t>
      </w:r>
    </w:p>
    <w:p>
      <w:pPr>
        <w:pStyle w:val="BodyText"/>
      </w:pPr>
      <w:r>
        <w:drawing>
          <wp:inline>
            <wp:extent cx="5029200" cy="5297567"/>
            <wp:effectExtent b="0" l="0" r="0" t="0"/>
            <wp:docPr descr="" title="" id="51" name="Picture"/>
            <a:graphic>
              <a:graphicData uri="http://schemas.openxmlformats.org/drawingml/2006/picture">
                <pic:pic>
                  <pic:nvPicPr>
                    <pic:cNvPr descr="../results/review/subgroups/subgroup_surviving_contrasts.png" id="52" name="Picture"/>
                    <pic:cNvPicPr>
                      <a:picLocks noChangeArrowheads="1" noChangeAspect="1"/>
                    </pic:cNvPicPr>
                  </pic:nvPicPr>
                  <pic:blipFill>
                    <a:blip r:embed="rId50"/>
                    <a:stretch>
                      <a:fillRect/>
                    </a:stretch>
                  </pic:blipFill>
                  <pic:spPr bwMode="auto">
                    <a:xfrm>
                      <a:off x="0" y="0"/>
                      <a:ext cx="5029200" cy="529756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Subgroup contrasts that survived Benjamini–Hochberg adjustment across 240 contrasts, for Qwen3-Embedding-8B. Each row is one model’s ROC AUC in the named group minus its ROC AUC in all other test patients, with a bootstrap 95% CI. Every model whose contrast survived is shown; the other 217 contrasts did not survive. Multimedia Appendix 1, section S9 gives discrimination and calibration within each subgroup for one model per approach and summarizes the sex and race contrasts. Clinical groups describe how depression was recorded; sociodemographic groups describe the patients. Group sizes and outcome counts are for the test patients. Retrieval arms are scored at their best k, chosen on the test patients. LR: logistic regression; MDD: major depressive disorder.</w:t>
      </w:r>
    </w:p>
    <w:bookmarkEnd w:id="53"/>
    <w:bookmarkEnd w:id="54"/>
    <w:bookmarkStart w:id="61" w:name="discussion"/>
    <w:p>
      <w:pPr>
        <w:pStyle w:val="Heading1"/>
      </w:pPr>
      <w:r>
        <w:t xml:space="preserve">Discussion</w:t>
      </w:r>
    </w:p>
    <w:bookmarkStart w:id="55"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55"/>
    <w:bookmarkStart w:id="56"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56"/>
    <w:bookmarkStart w:id="57"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57"/>
    <w:bookmarkStart w:id="58" w:name="interpreting-nearest-neighbor-retrieval"/>
    <w:p>
      <w:pPr>
        <w:pStyle w:val="Heading2"/>
      </w:pPr>
      <w:r>
        <w:t xml:space="preserve">Interpreting Nearest-Neighbor Retrieval</w:t>
      </w:r>
    </w:p>
    <w:p>
      <w:pPr>
        <w:pStyle w:val="FirstParagraph"/>
      </w:pPr>
      <w:r>
        <w:t xml:space="preserve">Retrieval shows that the embeddings place patients with similar outcomes near each other. Randomly chosen neighbors gave chance discrimination, and nearest neighbors rose well above it for every encoder. A trained logistic regression on the same embedding still did better at every neighborhood size.</w:t>
      </w:r>
    </w:p>
    <w:p>
      <w:pPr>
        <w:pStyle w:val="BodyText"/>
      </w:pPr>
      <w:r>
        <w:t xml:space="preserve">The number of neighbors works like a smoothing setting. With 1 neighbor, a patient’s risk is another patient’s 0 or 1 outcome, which is mostly noise. Averaging more neighbors steadies the estimate. That is why both nearest-neighbor curves rose from near chance at k = 1 for every encoder. Past a few hundred neighbors, the added patients are less alike in outcome risk, and plain cosine retrieval drifted down. The best k is therefore not a count of patient types or risk factors. It need not match the number of embedding dimensions a model relies on, and in these 4 encoders it did not.</w:t>
      </w:r>
    </w:p>
    <w:p>
      <w:pPr>
        <w:pStyle w:val="BodyText"/>
      </w:pPr>
      <w:r>
        <w:t xml:space="preserve">Weighting by logistic-regression coefficients changes which patients count as close. Plain cosine similarity reflects everything in the narrative, including content unrelated to the outcome. The weighted metric emphasizes the dimensions the classifier found predictive. Learning a distance from the outcome is an established way to improve nearest-neighbor prediction [30]. It also means the weighted metric borrows from a supervised model, so its gains are not a property of the pretrained encoder alone.</w:t>
      </w:r>
    </w:p>
    <w:p>
      <w:pPr>
        <w:pStyle w:val="BodyText"/>
      </w:pPr>
      <w:r>
        <w:t xml:space="preserve">Weighted retrieval still trails the logistic regression, and one reason is built into the weights. They keep the size of each coefficient but drop its sign. The classifier instead adds signed contributions into one score, so 2 patients can reach the same predicted risk through different features. Those 2 patients need not be close under the weighted similarity.</w:t>
      </w:r>
    </w:p>
    <w:p>
      <w:pPr>
        <w:pStyle w:val="BodyText"/>
      </w:pPr>
      <w:r>
        <w:t xml:space="preserve">Two cautions limit these interpretations. First, best k and the maxima were chosen on the test patients, and choosing a setting in the same patients it is scored on overstates performance [31]. A fair test would fit the weights and choose k inside the training data, for example by nested cross-validation, then score held-out patients once. Second, similar records are not similar biology. Neighbors share recorded psychiatric history, medication burden, prior treatment, and patterns of care. Retrieval does not identify TRD subtypes, and it cannot separate failed treatment from switching for tolerability, access, or prescribing habits. Likewise, the lower results for bge-small-en-v1.5 do not show that fewer dimensions caused them, because the encoders also differ in architecture and training.</w:t>
      </w:r>
    </w:p>
    <w:bookmarkEnd w:id="58"/>
    <w:bookmarkStart w:id="59"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59"/>
    <w:bookmarkStart w:id="60"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60"/>
    <w:bookmarkEnd w:id="61"/>
    <w:bookmarkStart w:id="62" w:name="acknowledgments"/>
    <w:p>
      <w:pPr>
        <w:pStyle w:val="Heading1"/>
      </w:pPr>
      <w:r>
        <w:t xml:space="preserve">Acknowledgments</w:t>
      </w:r>
    </w:p>
    <w:p>
      <w:pPr>
        <w:pStyle w:val="FirstParagraph"/>
      </w:pPr>
      <w:r>
        <w:t xml:space="preserve">ChatGPT (OpenAI) and Claude (Anthropic) assisted with language editing and organization of the manuscript and Multimedia Appendix 1. Claude also assisted with software development: it guided the first author through implementing the analysis and wrote parts of the code, including figure generation and data-handling routines. The authors reviewed and verified all code and analyses and are responsible for the final content.</w:t>
      </w:r>
    </w:p>
    <w:bookmarkEnd w:id="62"/>
    <w:bookmarkStart w:id="63"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63"/>
    <w:bookmarkStart w:id="64" w:name="conflicts-of-interest"/>
    <w:p>
      <w:pPr>
        <w:pStyle w:val="Heading1"/>
      </w:pPr>
      <w:r>
        <w:t xml:space="preserve">Conflicts of Interest</w:t>
      </w:r>
    </w:p>
    <w:p>
      <w:pPr>
        <w:pStyle w:val="FirstParagraph"/>
      </w:pPr>
      <w:r>
        <w:t xml:space="preserve">None declared.</w:t>
      </w:r>
    </w:p>
    <w:bookmarkEnd w:id="64"/>
    <w:bookmarkStart w:id="65" w:name="data-availability"/>
    <w:p>
      <w:pPr>
        <w:pStyle w:val="Heading1"/>
      </w:pPr>
      <w:r>
        <w:t xml:space="preserve">Data Availability</w:t>
      </w:r>
    </w:p>
    <w:p>
      <w:pPr>
        <w:pStyle w:val="FirstParagraph"/>
      </w:pPr>
      <w:r>
        <w:t xml:space="preserve">The EHR data cannot be shared publicly. Analysis code is available at https://github.com/Pirate-Hunter-Zoro/Atlas/tree/main/projects/TRD-EHR. Fitted model objects are not distributed because they are derived from nonshareable patient data.</w:t>
      </w:r>
    </w:p>
    <w:bookmarkEnd w:id="65"/>
    <w:bookmarkStart w:id="66"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66"/>
    <w:bookmarkStart w:id="67"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67"/>
    <w:bookmarkStart w:id="68"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68"/>
    <w:bookmarkStart w:id="69"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69"/>
    <w:bookmarkStart w:id="7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2025;647(8088):248-256.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30. Goldberger J, Roweis S, Hinton G, Salakhutdinov R. Neighbourhood components analysis. In: Saul LK, Weiss Y, Bottou L, editors. Advances in Neural Information Processing Systems 17 (NIPS 2004). Cambridge (MA): MIT Press; 2005. URL: https://proceedings.neurips.cc/paper/2004/hash/42fe880812925e520249e808937738d2-Abstract.html</w:t>
      </w:r>
    </w:p>
    <w:p>
      <w:pPr>
        <w:pStyle w:val="BodyText"/>
      </w:pPr>
      <w:r>
        <w:t xml:space="preserve">31. Cawley GC, Talbot NLC. On over-fitting in model selection and subsequent selection bias in performance evaluation. J Mach Learn Res. 2010;11:2079-2107.</w:t>
      </w:r>
    </w:p>
    <w:bookmarkEnd w:id="7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2026-10-10T14:40:40Z</dcterms:created>
  <dcterms:modified xsi:type="dcterms:W3CDTF">2026-10-10T14:40:40Z</dcterms:modified>
</cp:coreProperties>
</file>

<file path=docProps/custom.xml><?xml version="1.0" encoding="utf-8"?>
<Properties xmlns="http://schemas.openxmlformats.org/officeDocument/2006/custom-properties" xmlns:vt="http://schemas.openxmlformats.org/officeDocument/2006/docPropsVTypes"/>
</file>