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atched-input-representation-parity"/>
    <w:p>
      <w:pPr>
        <w:pStyle w:val="Heading1"/>
      </w:pPr>
      <w:r>
        <w:t xml:space="preserve">Matched-input representation parity</w:t>
      </w:r>
    </w:p>
    <w:p>
      <w:pPr>
        <w:pStyle w:val="FirstParagraph"/>
      </w:pPr>
      <w:r>
        <w:rPr>
          <w:b/>
          <w:bCs/>
        </w:rPr>
        <w:t xml:space="preserve">A reserve analysis for the TRD-prediction manuscript. Not submitted.</w:t>
      </w:r>
    </w:p>
    <w:p>
      <w:pPr>
        <w:pStyle w:val="BodyText"/>
      </w:pPr>
      <w:r>
        <w:rPr>
          <w:b/>
          <w:bCs/>
        </w:rPr>
        <w:t xml:space="preserve">Result in one line.</w:t>
      </w:r>
      <w:r>
        <w:t xml:space="preserve"> </w:t>
      </w:r>
      <w:r>
        <w:t xml:space="preserve">Closing the two largest field asymmetries between the two</w:t>
      </w:r>
      <w:r>
        <w:t xml:space="preserve"> </w:t>
      </w:r>
      <w:r>
        <w:t xml:space="preserve">representations leaves the primary comparison a null — best-versus-best +0.007</w:t>
      </w:r>
      <w:r>
        <w:t xml:space="preserve"> </w:t>
      </w:r>
      <w:r>
        <w:t xml:space="preserve">(95% CI −0.004 to +0.016) on matched inputs against +0.008 as published — so the</w:t>
      </w:r>
      <w:r>
        <w:t xml:space="preserve"> </w:t>
      </w:r>
      <w:r>
        <w:t xml:space="preserve">field mismatch does not carry the published finding.</w:t>
      </w:r>
    </w:p>
    <w:bookmarkStart w:id="20" w:name="the-question-this-answers"/>
    <w:p>
      <w:pPr>
        <w:pStyle w:val="Heading2"/>
      </w:pPr>
      <w:r>
        <w:t xml:space="preserve">1. The question this answers</w:t>
      </w:r>
    </w:p>
    <w:p>
      <w:pPr>
        <w:pStyle w:val="FirstParagraph"/>
      </w:pPr>
      <w:r>
        <w:t xml:space="preserve">The paper’s primary comparison sets a generalized pretrained transformer</w:t>
      </w:r>
      <w:r>
        <w:t xml:space="preserve"> </w:t>
      </w:r>
      <w:r>
        <w:t xml:space="preserve">embedding of a deterministic</w:t>
      </w:r>
      <w:r>
        <w:t xml:space="preserve"> </w:t>
      </w:r>
      <w:r>
        <w:t xml:space="preserve">clinical narrative against a typed feature vector, on the same patients, with</w:t>
      </w:r>
      <w:r>
        <w:t xml:space="preserve"> </w:t>
      </w:r>
      <w:r>
        <w:t xml:space="preserve">the same split. On Qwen3-Embedding-8B the head-to-head contrast is embedded</w:t>
      </w:r>
      <w:r>
        <w:t xml:space="preserve"> </w:t>
      </w:r>
      <w:r>
        <w:t xml:space="preserve">logistic regression 0.657 against feature-vector XGBoost 0.649: a paired</w:t>
      </w:r>
      <w:r>
        <w:t xml:space="preserve"> </w:t>
      </w:r>
      <w:r>
        <w:t xml:space="preserve">difference of +0.008 (95% CI −0.003 to +0.019), reported as no evidence of</w:t>
      </w:r>
      <w:r>
        <w:t xml:space="preserve"> </w:t>
      </w:r>
      <w:r>
        <w:t xml:space="preserve">superior discrimination.</w:t>
      </w:r>
    </w:p>
    <w:p>
      <w:pPr>
        <w:pStyle w:val="BodyText"/>
      </w:pPr>
      <w:r>
        <w:t xml:space="preserve">The two representations are not, however, fed the same fields. The field-level</w:t>
      </w:r>
      <w:r>
        <w:t xml:space="preserve"> </w:t>
      </w:r>
      <w:r>
        <w:t xml:space="preserve">crosswalk (Supplement S11) finds eleven asymmetries, ten of which favour the</w:t>
      </w:r>
      <w:r>
        <w:t xml:space="preserve"> </w:t>
      </w:r>
      <w:r>
        <w:t xml:space="preserve">narrative. The largest are three within-patient mean vital signs that the</w:t>
      </w:r>
      <w:r>
        <w:t xml:space="preserve"> </w:t>
      </w:r>
      <w:r>
        <w:t xml:space="preserve">narrative renders and the feature matrix drops at load time, and — running the</w:t>
      </w:r>
      <w:r>
        <w:t xml:space="preserve"> </w:t>
      </w:r>
      <w:r>
        <w:t xml:space="preserve">other way — recorded pre-index history length, which the feature matrix carries</w:t>
      </w:r>
      <w:r>
        <w:t xml:space="preserve"> </w:t>
      </w:r>
      <w:r>
        <w:t xml:space="preserve">and the narrative never rendered.</w:t>
      </w:r>
    </w:p>
    <w:p>
      <w:pPr>
        <w:pStyle w:val="BodyText"/>
      </w:pPr>
      <w:r>
        <w:t xml:space="preserve">That imbalance is roughly the size of the effect under test. So the head-to-head</w:t>
      </w:r>
      <w:r>
        <w:t xml:space="preserve"> </w:t>
      </w:r>
      <w:r>
        <w:t xml:space="preserve">comparison is, strictly, a comparison of two encodings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of the fields each</w:t>
      </w:r>
      <w:r>
        <w:t xml:space="preserve"> </w:t>
      </w:r>
      <w:r>
        <w:t xml:space="preserve">encoding happens to carry, and the obvious objection is that the published</w:t>
      </w:r>
      <w:r>
        <w:t xml:space="preserve"> </w:t>
      </w:r>
      <w:r>
        <w:t xml:space="preserve">result is an artifact of the inventory rather than of the representation.</w:t>
      </w:r>
    </w:p>
    <w:p>
      <w:pPr>
        <w:pStyle w:val="BodyText"/>
      </w:pPr>
      <w:r>
        <w:rPr>
          <w:b/>
          <w:bCs/>
        </w:rPr>
        <w:t xml:space="preserve">This analysis closes the two largest asymmetries and asks whether the primary</w:t>
      </w:r>
      <w:r>
        <w:rPr>
          <w:b/>
          <w:bCs/>
        </w:rPr>
        <w:t xml:space="preserve"> </w:t>
      </w:r>
      <w:r>
        <w:rPr>
          <w:b/>
          <w:bCs/>
        </w:rPr>
        <w:t xml:space="preserve">comparison survives.</w:t>
      </w:r>
      <w:r>
        <w:t xml:space="preserve"> </w:t>
      </w:r>
      <w:r>
        <w:t xml:space="preserve">It is a decision procedure, not a second study: its job</w:t>
      </w:r>
      <w:r>
        <w:t xml:space="preserve"> </w:t>
      </w:r>
      <w:r>
        <w:t xml:space="preserve">is to establish whether the expensive version — a full pipeline pass — is</w:t>
      </w:r>
      <w:r>
        <w:t xml:space="preserve"> </w:t>
      </w:r>
      <w:r>
        <w:t xml:space="preserve">needed.</w:t>
      </w:r>
    </w:p>
    <w:bookmarkEnd w:id="20"/>
    <w:bookmarkStart w:id="25" w:name="design"/>
    <w:p>
      <w:pPr>
        <w:pStyle w:val="Heading2"/>
      </w:pPr>
      <w:r>
        <w:t xml:space="preserve">2. Design</w:t>
      </w:r>
    </w:p>
    <w:bookmarkStart w:id="21" w:name="what-was-changed"/>
    <w:p>
      <w:pPr>
        <w:pStyle w:val="Heading3"/>
      </w:pPr>
      <w:r>
        <w:t xml:space="preserve">2.1 What was changed</w:t>
      </w:r>
    </w:p>
    <w:p>
      <w:pPr>
        <w:pStyle w:val="FirstParagraph"/>
      </w:pPr>
      <w:r>
        <w:t xml:space="preserve">Two changes, one per representation.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feature matrix receives the vital signs.</w:t>
      </w:r>
      <w:r>
        <w:t xml:space="preserve"> </w:t>
      </w:r>
      <w:r>
        <w:t xml:space="preserve">The three within-patient mean</w:t>
      </w:r>
      <w:r>
        <w:t xml:space="preserve"> </w:t>
      </w:r>
      <w:r>
        <w:t xml:space="preserve">vital signs are restored (BMI, mean systolic and mean diastolic blood</w:t>
      </w:r>
      <w:r>
        <w:t xml:space="preserve"> </w:t>
      </w:r>
      <w:r>
        <w:t xml:space="preserve">pressure), each vital block carrying an explicit boolean missingness indicator,</w:t>
      </w:r>
      <w:r>
        <w:t xml:space="preserve"> </w:t>
      </w:r>
      <w:r>
        <w:t xml:space="preserve">and the numeric branch of the preprocessing pipeline gains a median imputer</w:t>
      </w:r>
      <w:r>
        <w:t xml:space="preserve"> </w:t>
      </w:r>
      <w:r>
        <w:t xml:space="preserve">fitted inside each cross-validation fold rather than over the whole cohort. The</w:t>
      </w:r>
      <w:r>
        <w:t xml:space="preserve"> </w:t>
      </w:r>
      <w:r>
        <w:t xml:space="preserve">indicator is what keeps this from being a silent imputation: 22.1% of patients</w:t>
      </w:r>
      <w:r>
        <w:t xml:space="preserve"> </w:t>
      </w:r>
      <w:r>
        <w:t xml:space="preserve">have no recorded BMI and 21.8% no recorded blood pressure, and the association</w:t>
      </w:r>
      <w:r>
        <w:t xml:space="preserve"> </w:t>
      </w:r>
      <w:r>
        <w:t xml:space="preserve">between vital-sign missingness and the outcome is precisely what the paper’s</w:t>
      </w:r>
      <w:r>
        <w:t xml:space="preserve"> </w:t>
      </w:r>
      <w:r>
        <w:t xml:space="preserve">missing-data limitation is about, so the fact of an absent measurement has to</w:t>
      </w:r>
      <w:r>
        <w:t xml:space="preserve"> </w:t>
      </w:r>
      <w:r>
        <w:t xml:space="preserve">stay available to the model. The design matrix goes from 59 columns to 64.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narrative renders recorded history length.</w:t>
      </w:r>
      <w:r>
        <w:t xml:space="preserve"> </w:t>
      </w:r>
      <w:r>
        <w:rPr>
          <w:rStyle w:val="VerbatimChar"/>
        </w:rPr>
        <w:t xml:space="preserve">pre_anchor_history_days</w:t>
      </w:r>
      <w:r>
        <w:t xml:space="preserve"> </w:t>
      </w:r>
      <w:r>
        <w:t xml:space="preserve">is</w:t>
      </w:r>
      <w:r>
        <w:t xml:space="preserve"> </w:t>
      </w:r>
      <w:r>
        <w:t xml:space="preserve">added to the narrative’s cohort-and-index header. It is the one field the</w:t>
      </w:r>
      <w:r>
        <w:t xml:space="preserve"> </w:t>
      </w:r>
      <w:r>
        <w:t xml:space="preserve">feature matrix had and the narrative did not.</w:t>
      </w:r>
    </w:p>
    <w:bookmarkEnd w:id="21"/>
    <w:bookmarkStart w:id="22" w:name="what-was-deliberately-not-changed"/>
    <w:p>
      <w:pPr>
        <w:pStyle w:val="Heading3"/>
      </w:pPr>
      <w:r>
        <w:t xml:space="preserve">2.2 What was deliberately not changed</w:t>
      </w:r>
    </w:p>
    <w:p>
      <w:pPr>
        <w:pStyle w:val="FirstParagraph"/>
      </w:pPr>
      <w:r>
        <w:t xml:space="preserve">The remaining nine asymmetries are left in place, and the reason is scope rather</w:t>
      </w:r>
      <w:r>
        <w:t xml:space="preserve"> </w:t>
      </w:r>
      <w:r>
        <w:t xml:space="preserve">than oversight. Removing the index date, the sexual-orientation</w:t>
      </w:r>
      <w:r>
        <w:t xml:space="preserve"> </w:t>
      </w:r>
      <w:r>
        <w:t xml:space="preserve">field, the raw sociodemographic tokens or the named medication ingredients from</w:t>
      </w:r>
      <w:r>
        <w:t xml:space="preserve"> </w:t>
      </w:r>
      <w:r>
        <w:t xml:space="preserve">the narrative would mean either deleting information from one representation or</w:t>
      </w:r>
      <w:r>
        <w:t xml:space="preserve"> </w:t>
      </w:r>
      <w:r>
        <w:t xml:space="preserve">adding columns to the other. Every such change alters the narrative text, which</w:t>
      </w:r>
      <w:r>
        <w:t xml:space="preserve"> </w:t>
      </w:r>
      <w:r>
        <w:t xml:space="preserve">invalidates every embedding, neighbour set and cached judgement downstream of</w:t>
      </w:r>
      <w:r>
        <w:t xml:space="preserve"> </w:t>
      </w:r>
      <w:r>
        <w:t xml:space="preserve">it. The two changes made here are the two that can be attributed cleanly.</w:t>
      </w:r>
    </w:p>
    <w:p>
      <w:pPr>
        <w:pStyle w:val="BodyText"/>
      </w:pPr>
      <w:r>
        <w:t xml:space="preserve">Three further restrictions keep this a decision procedure. Two classifiers are</w:t>
      </w:r>
      <w:r>
        <w:t xml:space="preserve"> </w:t>
      </w:r>
      <w:r>
        <w:t xml:space="preserve">fitted rather than four — logistic regression and XGBoost, respectively the best</w:t>
      </w:r>
      <w:r>
        <w:t xml:space="preserve"> </w:t>
      </w:r>
      <w:r>
        <w:t xml:space="preserve">embedded and the best feature-vector model, so the pair carries both the</w:t>
      </w:r>
      <w:r>
        <w:t xml:space="preserve"> </w:t>
      </w:r>
      <w:r>
        <w:t xml:space="preserve">head-to-head contrast and the classifier-by-representation interaction. One</w:t>
      </w:r>
      <w:r>
        <w:t xml:space="preserve"> </w:t>
      </w:r>
      <w:r>
        <w:t xml:space="preserve">encoder is used, the primary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, not all four. The</w:t>
      </w:r>
      <w:r>
        <w:t xml:space="preserve"> </w:t>
      </w:r>
      <w:r>
        <w:t xml:space="preserve">neighbour-weighted arm is re-run with cosine and uniform weighting only, with no</w:t>
      </w:r>
      <w:r>
        <w:t xml:space="preserve"> </w:t>
      </w:r>
      <w:r>
        <w:t xml:space="preserve">LLM judging, and the ablation slate is not re-scored.</w:t>
      </w:r>
    </w:p>
    <w:p>
      <w:pPr>
        <w:pStyle w:val="BodyText"/>
      </w:pPr>
      <w:r>
        <w:t xml:space="preserve">Hyperparameter grids, the 80/20 stratified split, the seed and the bootstrap</w:t>
      </w:r>
      <w:r>
        <w:t xml:space="preserve"> </w:t>
      </w:r>
      <w:r>
        <w:t xml:space="preserve">procedure are all the published ones. Every comparison is a</w:t>
      </w:r>
      <w:r>
        <w:t xml:space="preserve"> </w:t>
      </w:r>
      <w:r>
        <w:rPr>
          <w:b/>
          <w:bCs/>
        </w:rPr>
        <w:t xml:space="preserve">paired</w:t>
      </w:r>
      <w:r>
        <w:t xml:space="preserve"> </w:t>
      </w:r>
      <w:r>
        <w:t xml:space="preserve">bootstrap</w:t>
      </w:r>
      <w:r>
        <w:t xml:space="preserve"> </w:t>
      </w:r>
      <w:r>
        <w:t xml:space="preserve">against the published prediction vector on the same held-out patients, which is</w:t>
      </w:r>
      <w:r>
        <w:t xml:space="preserve"> </w:t>
      </w:r>
      <w:r>
        <w:t xml:space="preserve">the appropriate test because both vectors rank the same people; the paired</w:t>
      </w:r>
      <w:r>
        <w:t xml:space="preserve"> </w:t>
      </w:r>
      <w:r>
        <w:t xml:space="preserve">intervals run roughly a third the width of the marginal ones.</w:t>
      </w:r>
    </w:p>
    <w:bookmarkEnd w:id="22"/>
    <w:bookmarkStart w:id="23" w:name="Xd4351bf499b92fa591d11027782d42a36d7f233"/>
    <w:p>
      <w:pPr>
        <w:pStyle w:val="Heading3"/>
      </w:pPr>
      <w:r>
        <w:t xml:space="preserve">2.3 A reproducibility defect, and the control arm it forced</w:t>
      </w:r>
    </w:p>
    <w:p>
      <w:pPr>
        <w:pStyle w:val="FirstParagraph"/>
      </w:pPr>
      <w:r>
        <w:t xml:space="preserve">Re-rendering the narratives revealed that the published narrative text is not</w:t>
      </w:r>
      <w:r>
        <w:t xml:space="preserve"> </w:t>
      </w:r>
      <w:r>
        <w:t xml:space="preserve">byte-reproducible. The renderer emitted its flag lists — psychiatric and general</w:t>
      </w:r>
      <w:r>
        <w:t xml:space="preserve"> </w:t>
      </w:r>
      <w:r>
        <w:t xml:space="preserve">medical comorbidities, prescribing-safety flags, and the per-class prior-trial</w:t>
      </w:r>
      <w:r>
        <w:t xml:space="preserve"> </w:t>
      </w:r>
      <w:r>
        <w:t xml:space="preserve">counts — by iterating Python sets, whose iteration order varies between</w:t>
      </w:r>
      <w:r>
        <w:t xml:space="preserve"> </w:t>
      </w:r>
      <w:r>
        <w:t xml:space="preserve">processes. Re-running the renderer on identical input therefore produced</w:t>
      </w:r>
      <w:r>
        <w:t xml:space="preserve"> </w:t>
      </w:r>
      <w:r>
        <w:t xml:space="preserve">identically</w:t>
      </w:r>
      <w:r>
        <w:t xml:space="preserve"> </w:t>
      </w:r>
      <w:r>
        <w:rPr>
          <w:i/>
          <w:iCs/>
        </w:rPr>
        <w:t xml:space="preserve">informative</w:t>
      </w:r>
      <w:r>
        <w:t xml:space="preserve"> </w:t>
      </w:r>
      <w:r>
        <w:t xml:space="preserve">but differently</w:t>
      </w:r>
      <w:r>
        <w:t xml:space="preserve"> </w:t>
      </w:r>
      <w:r>
        <w:rPr>
          <w:i/>
          <w:iCs/>
        </w:rPr>
        <w:t xml:space="preserve">ordered</w:t>
      </w:r>
      <w:r>
        <w:t xml:space="preserve"> </w:t>
      </w:r>
      <w:r>
        <w:t xml:space="preserve">text. The renderer sorts as</w:t>
      </w:r>
      <w:r>
        <w:t xml:space="preserve"> </w:t>
      </w:r>
      <w:r>
        <w:t xml:space="preserve">of this revision, which makes future renders deterministic; it does not</w:t>
      </w:r>
      <w:r>
        <w:t xml:space="preserve"> </w:t>
      </w:r>
      <w:r>
        <w:t xml:space="preserve">reconstruct the exact strings that were embedded and judged, which are the ones</w:t>
      </w:r>
      <w:r>
        <w:t xml:space="preserve"> </w:t>
      </w:r>
      <w:r>
        <w:t xml:space="preserve">on disk.</w:t>
      </w:r>
    </w:p>
    <w:p>
      <w:pPr>
        <w:pStyle w:val="BodyText"/>
      </w:pPr>
      <w:r>
        <w:t xml:space="preserve">This bears on no published number: each published narrative was rendered once,</w:t>
      </w:r>
      <w:r>
        <w:t xml:space="preserve"> </w:t>
      </w:r>
      <w:r>
        <w:t xml:space="preserve">and every embedding, neighbour set and judgement was computed from the text that</w:t>
      </w:r>
      <w:r>
        <w:t xml:space="preserve"> </w:t>
      </w:r>
      <w:r>
        <w:t xml:space="preserve">was actually written. It does mean a re-render cannot serve as a byte-level</w:t>
      </w:r>
      <w:r>
        <w:t xml:space="preserve"> </w:t>
      </w:r>
      <w:r>
        <w:t xml:space="preserve">control. So the comparison carries three arms, not two: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feature_vitals</w:t>
            </w:r>
          </w:p>
        </w:tc>
        <w:tc>
          <w:tcPr/>
          <w:p>
            <w:pPr>
              <w:pStyle w:val="Compact"/>
            </w:pPr>
            <w:r>
              <w:t xml:space="preserve">the feature matrix with the vitals and their missingness indicators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narrative_control</w:t>
            </w:r>
          </w:p>
        </w:tc>
        <w:tc>
          <w:tcPr/>
          <w:p>
            <w:pPr>
              <w:pStyle w:val="Compact"/>
            </w:pPr>
            <w:r>
              <w:t xml:space="preserve">the narrative re-rendered in sorted order,</w:t>
            </w:r>
            <w:r>
              <w:t xml:space="preserve"> </w:t>
            </w:r>
            <w:r>
              <w:rPr>
                <w:b/>
                <w:bCs/>
              </w:rPr>
              <w:t xml:space="preserve">no content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narrative_parity</w:t>
            </w:r>
          </w:p>
        </w:tc>
        <w:tc>
          <w:tcPr/>
          <w:p>
            <w:pPr>
              <w:pStyle w:val="Compact"/>
            </w:pPr>
            <w:r>
              <w:t xml:space="preserve">the narrative re-rendered with</w:t>
            </w:r>
            <w:r>
              <w:t xml:space="preserve"> </w:t>
            </w:r>
            <w:r>
              <w:rPr>
                <w:rStyle w:val="VerbatimChar"/>
              </w:rPr>
              <w:t xml:space="preserve">pre_anchor_history_days</w:t>
            </w:r>
            <w:r>
              <w:t xml:space="preserve"> </w:t>
            </w:r>
            <w:r>
              <w:t xml:space="preserve">added</w:t>
            </w:r>
          </w:p>
        </w:tc>
      </w:tr>
    </w:tbl>
    <w:p>
      <w:pPr>
        <w:pStyle w:val="BodyText"/>
      </w:pPr>
      <w:r>
        <w:t xml:space="preserve">The control arm measures what re-rendering alone costs, so the parity arm’s</w:t>
      </w:r>
      <w:r>
        <w:t xml:space="preserve"> </w:t>
      </w:r>
      <w:r>
        <w:t xml:space="preserve">delta is attributable to the added field rather than to the reshuffle. It also</w:t>
      </w:r>
      <w:r>
        <w:t xml:space="preserve"> </w:t>
      </w:r>
      <w:r>
        <w:t xml:space="preserve">answers a question the paper otherwise could not: how stable the embedded arm is</w:t>
      </w:r>
      <w:r>
        <w:t xml:space="preserve"> </w:t>
      </w:r>
      <w:r>
        <w:t xml:space="preserve">to a rebuild of its own inputs.</w:t>
      </w:r>
    </w:p>
    <w:bookmarkEnd w:id="23"/>
    <w:bookmarkStart w:id="24" w:name="the-decision-rule"/>
    <w:p>
      <w:pPr>
        <w:pStyle w:val="Heading3"/>
      </w:pPr>
      <w:r>
        <w:t xml:space="preserve">2.4 The decision rule</w:t>
      </w:r>
    </w:p>
    <w:p>
      <w:pPr>
        <w:pStyle w:val="FirstParagraph"/>
      </w:pPr>
      <w:r>
        <w:t xml:space="preserve">Fixed on 2026-08-28, before any arm reported, and recorded in the project task</w:t>
      </w:r>
      <w:r>
        <w:t xml:space="preserve"> </w:t>
      </w:r>
      <w:r>
        <w:t xml:space="preserve">list at that time:</w:t>
      </w:r>
    </w:p>
    <w:p>
      <w:pPr>
        <w:pStyle w:val="BlockText"/>
      </w:pPr>
      <w:r>
        <w:t xml:space="preserve">If no paired interval on the</w:t>
      </w:r>
      <w:r>
        <w:t xml:space="preserve"> </w:t>
      </w:r>
      <w:r>
        <w:rPr>
          <w:b/>
          <w:bCs/>
        </w:rPr>
        <w:t xml:space="preserve">head-to-head</w:t>
      </w:r>
      <w:r>
        <w:t xml:space="preserve"> </w:t>
      </w:r>
      <w:r>
        <w:t xml:space="preserve">contrast excludes zero, the</w:t>
      </w:r>
      <w:r>
        <w:t xml:space="preserve"> </w:t>
      </w:r>
      <w:r>
        <w:t xml:space="preserve">published comparison stands as reported and this analysis is the evidence that</w:t>
      </w:r>
      <w:r>
        <w:t xml:space="preserve"> </w:t>
      </w:r>
      <w:r>
        <w:t xml:space="preserve">the field mismatch does not carry it. If one does, the full pipeline pass —</w:t>
      </w:r>
      <w:r>
        <w:t xml:space="preserve"> </w:t>
      </w:r>
      <w:r>
        <w:t xml:space="preserve">re-render, re-embed all four encoders, re-tune every classifier, re-score the</w:t>
      </w:r>
      <w:r>
        <w:t xml:space="preserve"> </w:t>
      </w:r>
      <w:r>
        <w:t xml:space="preserve">ablation slate — becomes unavoidable, because the donor pairings and the frozen</w:t>
      </w:r>
      <w:r>
        <w:t xml:space="preserve"> </w:t>
      </w:r>
      <w:r>
        <w:t xml:space="preserve">baselines all sit downstream of the narrative text.</w:t>
      </w:r>
    </w:p>
    <w:p>
      <w:pPr>
        <w:pStyle w:val="FirstParagraph"/>
      </w:pPr>
      <w:r>
        <w:t xml:space="preserve">The trigger is the head-to-head contrast specifically, and it is worth saying</w:t>
      </w:r>
      <w:r>
        <w:t xml:space="preserve"> </w:t>
      </w:r>
      <w:r>
        <w:t xml:space="preserve">why, because the within-representation contrasts below are not nulls and it</w:t>
      </w:r>
      <w:r>
        <w:t xml:space="preserve"> </w:t>
      </w:r>
      <w:r>
        <w:t xml:space="preserve">would be easy to read them as triggering. Adding an informative field to an arm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move that arm; a manipulation that moved nothing would mean the</w:t>
      </w:r>
      <w:r>
        <w:t xml:space="preserve"> </w:t>
      </w:r>
      <w:r>
        <w:t xml:space="preserve">manipulation failed. What the paper claims is about the</w:t>
      </w:r>
      <w:r>
        <w:t xml:space="preserve"> </w:t>
      </w:r>
      <w:r>
        <w:rPr>
          <w:i/>
          <w:iCs/>
        </w:rPr>
        <w:t xml:space="preserve">comparison</w:t>
      </w:r>
      <w:r>
        <w:t xml:space="preserve"> </w:t>
      </w:r>
      <w:r>
        <w:t xml:space="preserve">between the</w:t>
      </w:r>
      <w:r>
        <w:t xml:space="preserve"> </w:t>
      </w:r>
      <w:r>
        <w:t xml:space="preserve">arms, and that is the quantity the rule names. The rule’s own justification says</w:t>
      </w:r>
      <w:r>
        <w:t xml:space="preserve"> </w:t>
      </w:r>
      <w:r>
        <w:t xml:space="preserve">the same thing from the other side: what a full pass would have to rebuild is</w:t>
      </w:r>
      <w:r>
        <w:t xml:space="preserve"> </w:t>
      </w:r>
      <w:r>
        <w:t xml:space="preserve">everything downstream of the</w:t>
      </w:r>
      <w:r>
        <w:t xml:space="preserve"> </w:t>
      </w:r>
      <w:r>
        <w:rPr>
          <w:i/>
          <w:iCs/>
        </w:rPr>
        <w:t xml:space="preserve">narrative text</w:t>
      </w:r>
      <w:r>
        <w:t xml:space="preserve">, which no feature-arm result can</w:t>
      </w:r>
      <w:r>
        <w:t xml:space="preserve"> </w:t>
      </w:r>
      <w:r>
        <w:t xml:space="preserve">require.</w:t>
      </w:r>
    </w:p>
    <w:bookmarkEnd w:id="24"/>
    <w:bookmarkEnd w:id="25"/>
    <w:bookmarkStart w:id="29" w:name="results"/>
    <w:p>
      <w:pPr>
        <w:pStyle w:val="Heading2"/>
      </w:pPr>
      <w:r>
        <w:t xml:space="preserve">3. Results</w:t>
      </w:r>
    </w:p>
    <w:bookmarkStart w:id="26" w:name="Xa77daf34b85c1d9aa8d864aa7c3d0ef49d32e05"/>
    <w:p>
      <w:pPr>
        <w:pStyle w:val="Heading3"/>
      </w:pPr>
      <w:r>
        <w:t xml:space="preserve">3.1 The feature arm gains, and the gain is real but classifier-specific</w:t>
      </w:r>
    </w:p>
    <w:p>
      <w:pPr>
        <w:pStyle w:val="FirstParagraph"/>
      </w:pPr>
      <w:r>
        <w:t xml:space="preserve">Adding the vitals with missingness indicators to the feature matrix, against the</w:t>
      </w:r>
      <w:r>
        <w:t xml:space="preserve"> </w:t>
      </w:r>
      <w:r>
        <w:t xml:space="preserve">published feature arm, on the same held-out patients: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Published ROC AUC</w:t>
            </w:r>
          </w:p>
        </w:tc>
        <w:tc>
          <w:tcPr/>
          <w:p>
            <w:pPr>
              <w:pStyle w:val="Compact"/>
            </w:pPr>
            <w:r>
              <w:t xml:space="preserve">With vitals</w:t>
            </w:r>
          </w:p>
        </w:tc>
        <w:tc>
          <w:tcPr/>
          <w:p>
            <w:pPr>
              <w:pStyle w:val="Compact"/>
            </w:pPr>
            <w:r>
              <w:t xml:space="preserve">Paired Δ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Excludes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0.629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+0.014</w:t>
            </w:r>
          </w:p>
        </w:tc>
        <w:tc>
          <w:tcPr/>
          <w:p>
            <w:pPr>
              <w:pStyle w:val="Compact"/>
            </w:pPr>
            <w:r>
              <w:t xml:space="preserve">+0.009 to +0.020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0.649</w:t>
            </w:r>
          </w:p>
        </w:tc>
        <w:tc>
          <w:tcPr/>
          <w:p>
            <w:pPr>
              <w:pStyle w:val="Compact"/>
            </w:pPr>
            <w:r>
              <w:t xml:space="preserve">0.651</w:t>
            </w:r>
          </w:p>
        </w:tc>
        <w:tc>
          <w:tcPr/>
          <w:p>
            <w:pPr>
              <w:pStyle w:val="Compact"/>
            </w:pPr>
            <w:r>
              <w:t xml:space="preserve">+0.002</w:t>
            </w:r>
          </w:p>
        </w:tc>
        <w:tc>
          <w:tcPr/>
          <w:p>
            <w:pPr>
              <w:pStyle w:val="Compact"/>
            </w:pPr>
            <w:r>
              <w:t xml:space="preserve">−0.002 to +0.006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Three things about this table.</w:t>
      </w:r>
    </w:p>
    <w:p>
      <w:pPr>
        <w:pStyle w:val="BodyText"/>
      </w:pPr>
      <w:r>
        <w:rPr>
          <w:b/>
          <w:bCs/>
        </w:rPr>
        <w:t xml:space="preserve">The tuning did not move.</w:t>
      </w:r>
      <w:r>
        <w:t xml:space="preserve"> </w:t>
      </w:r>
      <w:r>
        <w:t xml:space="preserve">Both parity models selected exactly the</w:t>
      </w:r>
      <w:r>
        <w:t xml:space="preserve"> </w:t>
      </w:r>
      <w:r>
        <w:t xml:space="preserve">hyperparameters their published counterparts selected — elasticnet at C = 0.1</w:t>
      </w:r>
      <w:r>
        <w:t xml:space="preserve"> </w:t>
      </w:r>
      <w:r>
        <w:t xml:space="preserve">with an L1 ratio of 0.5 for logistic regression, and 300 trees at learning rate</w:t>
      </w:r>
      <w:r>
        <w:t xml:space="preserve"> </w:t>
      </w:r>
      <w:r>
        <w:t xml:space="preserve">0.01, depth 5, subsample 0.5 for XGBoost. The gain is attributable to the added</w:t>
      </w:r>
      <w:r>
        <w:t xml:space="preserve"> </w:t>
      </w:r>
      <w:r>
        <w:t xml:space="preserve">columns rather than to landing on a different point in the grid.</w:t>
      </w:r>
    </w:p>
    <w:p>
      <w:pPr>
        <w:pStyle w:val="BodyText"/>
      </w:pPr>
      <w:r>
        <w:rPr>
          <w:b/>
          <w:bCs/>
        </w:rPr>
        <w:t xml:space="preserve">Calibration improves more than discrimination does.</w:t>
      </w:r>
      <w:r>
        <w:t xml:space="preserve"> </w:t>
      </w:r>
      <w:r>
        <w:t xml:space="preserve">The feature arm’s</w:t>
      </w:r>
      <w:r>
        <w:t xml:space="preserve"> </w:t>
      </w:r>
      <w:r>
        <w:t xml:space="preserve">logistic-regression calibration slope moves from 0.779 to 0.922 and its</w:t>
      </w:r>
      <w:r>
        <w:t xml:space="preserve"> </w:t>
      </w:r>
      <w:r>
        <w:t xml:space="preserve">intercept from 0.058 to 0.018; Brier falls from 0.1391 to 0.1382. A slope that</w:t>
      </w:r>
      <w:r>
        <w:t xml:space="preserve"> </w:t>
      </w:r>
      <w:r>
        <w:t xml:space="preserve">far below one is systematic overconfidence, and restoring the vitals removes</w:t>
      </w:r>
      <w:r>
        <w:t xml:space="preserve"> </w:t>
      </w:r>
      <w:r>
        <w:t xml:space="preserve">most of it.</w:t>
      </w:r>
    </w:p>
    <w:p>
      <w:pPr>
        <w:pStyle w:val="BodyText"/>
      </w:pPr>
      <w:r>
        <w:rPr>
          <w:b/>
          <w:bCs/>
        </w:rPr>
        <w:t xml:space="preserve">Only the linear model gains.</w:t>
      </w:r>
      <w:r>
        <w:t xml:space="preserve"> </w:t>
      </w:r>
      <w:r>
        <w:t xml:space="preserve">XGBoost is unmoved. This is the same</w:t>
      </w:r>
      <w:r>
        <w:t xml:space="preserve"> </w:t>
      </w:r>
      <w:r>
        <w:t xml:space="preserve">representation-by-classifier pattern the paper already reports from the other</w:t>
      </w:r>
      <w:r>
        <w:t xml:space="preserve"> </w:t>
      </w:r>
      <w:r>
        <w:t xml:space="preserve">direction: the tree ensemble was already extracting from 59 columns most of what</w:t>
      </w:r>
      <w:r>
        <w:t xml:space="preserve"> </w:t>
      </w:r>
      <w:r>
        <w:t xml:space="preserve">three more contain, while the regularized linear model could use them.</w:t>
      </w:r>
    </w:p>
    <w:p>
      <w:pPr>
        <w:pStyle w:val="BodyText"/>
      </w:pPr>
      <w:r>
        <w:t xml:space="preserve">This closes two-thirds of the three-way missing-data comparison that the packet</w:t>
      </w:r>
      <w:r>
        <w:t xml:space="preserve"> </w:t>
      </w:r>
      <w:r>
        <w:t xml:space="preserve">does not report. (The sentence saying it should was in the Limitations section,</w:t>
      </w:r>
      <w:r>
        <w:t xml:space="preserve"> </w:t>
      </w:r>
      <w:r>
        <w:t xml:space="preserve">which came out of the Discussion on 2026-09-03; see</w:t>
      </w:r>
      <w:r>
        <w:t xml:space="preserve"> </w:t>
      </w:r>
      <w:r>
        <w:rPr>
          <w:rStyle w:val="VerbatimChar"/>
        </w:rPr>
        <w:t xml:space="preserve">limitations_reserve.md</w:t>
      </w:r>
      <w:r>
        <w:t xml:space="preserve">.) The published arm is the</w:t>
      </w:r>
      <w:r>
        <w:t xml:space="preserve"> </w:t>
      </w:r>
      <w:r>
        <w:t xml:space="preserve">“no vitals”</w:t>
      </w:r>
      <w:r>
        <w:t xml:space="preserve"> </w:t>
      </w:r>
      <w:r>
        <w:t xml:space="preserve">arm and this is the</w:t>
      </w:r>
      <w:r>
        <w:t xml:space="preserve"> </w:t>
      </w:r>
      <w:r>
        <w:t xml:space="preserve">“vitals plus explicit indicators, imputed within</w:t>
      </w:r>
      <w:r>
        <w:t xml:space="preserve"> </w:t>
      </w:r>
      <w:r>
        <w:t xml:space="preserve">fold”</w:t>
      </w:r>
      <w:r>
        <w:t xml:space="preserve"> </w:t>
      </w:r>
      <w:r>
        <w:t xml:space="preserve">arm. The third — vitals imputed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indicators, which would isolate</w:t>
      </w:r>
      <w:r>
        <w:t xml:space="preserve"> </w:t>
      </w:r>
      <w:r>
        <w:t xml:space="preserve">what the indicator itself contributes — was not run.</w:t>
      </w:r>
    </w:p>
    <w:bookmarkEnd w:id="26"/>
    <w:bookmarkStart w:id="27" w:name="X5c51966fa1c5bfb0d31f5f2ec370275f720ddc9"/>
    <w:p>
      <w:pPr>
        <w:pStyle w:val="Heading3"/>
      </w:pPr>
      <w:r>
        <w:t xml:space="preserve">3.2 The neighbour arm is a clean null, and it bounds the rebuild noise</w:t>
      </w:r>
    </w:p>
    <w:p>
      <w:pPr>
        <w:pStyle w:val="FirstParagraph"/>
      </w:pPr>
      <w:r>
        <w:t xml:space="preserve">Nearest-retrieval KNN, each narrative arm against the published run, paired on</w:t>
      </w:r>
      <w:r>
        <w:t xml:space="preserve"> </w:t>
      </w:r>
      <w:r>
        <w:t xml:space="preserve">the same held-out anchors: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Weighting</w:t>
            </w:r>
          </w:p>
        </w:tc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Paired Δ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Excludes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(re-render only)</w:t>
            </w:r>
          </w:p>
        </w:tc>
        <w:tc>
          <w:tcPr/>
          <w:p>
            <w:pPr>
              <w:pStyle w:val="Compact"/>
            </w:pPr>
            <w:r>
              <w:t xml:space="preserve">uniform</w:t>
            </w:r>
          </w:p>
        </w:tc>
        <w:tc>
          <w:tcPr/>
          <w:p>
            <w:pPr>
              <w:pStyle w:val="Compact"/>
            </w:pPr>
            <w:r>
              <w:t xml:space="preserve">0.5934</w:t>
            </w:r>
          </w:p>
        </w:tc>
        <w:tc>
          <w:tcPr/>
          <w:p>
            <w:pPr>
              <w:pStyle w:val="Compact"/>
            </w:pPr>
            <w:r>
              <w:t xml:space="preserve">0.5976</w:t>
            </w:r>
          </w:p>
        </w:tc>
        <w:tc>
          <w:tcPr/>
          <w:p>
            <w:pPr>
              <w:pStyle w:val="Compact"/>
            </w:pPr>
            <w:r>
              <w:t xml:space="preserve">+0.0042</w:t>
            </w:r>
          </w:p>
        </w:tc>
        <w:tc>
          <w:tcPr/>
          <w:p>
            <w:pPr>
              <w:pStyle w:val="Compact"/>
            </w:pPr>
            <w:r>
              <w:t xml:space="preserve">−0.0063 to +0.0132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(re-render only)</w:t>
            </w:r>
          </w:p>
        </w:tc>
        <w:tc>
          <w:tcPr/>
          <w:p>
            <w:pPr>
              <w:pStyle w:val="Compact"/>
            </w:pPr>
            <w:r>
              <w:t xml:space="preserve">cosine</w:t>
            </w:r>
          </w:p>
        </w:tc>
        <w:tc>
          <w:tcPr/>
          <w:p>
            <w:pPr>
              <w:pStyle w:val="Compact"/>
            </w:pPr>
            <w:r>
              <w:t xml:space="preserve">0.5939</w:t>
            </w:r>
          </w:p>
        </w:tc>
        <w:tc>
          <w:tcPr/>
          <w:p>
            <w:pPr>
              <w:pStyle w:val="Compact"/>
            </w:pPr>
            <w:r>
              <w:t xml:space="preserve">0.5978</w:t>
            </w:r>
          </w:p>
        </w:tc>
        <w:tc>
          <w:tcPr/>
          <w:p>
            <w:pPr>
              <w:pStyle w:val="Compact"/>
            </w:pPr>
            <w:r>
              <w:t xml:space="preserve">+0.0039</w:t>
            </w:r>
          </w:p>
        </w:tc>
        <w:tc>
          <w:tcPr/>
          <w:p>
            <w:pPr>
              <w:pStyle w:val="Compact"/>
            </w:pPr>
            <w:r>
              <w:t xml:space="preserve">−0.0059 to +0.0124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Parity (+ history length)</w:t>
            </w:r>
          </w:p>
        </w:tc>
        <w:tc>
          <w:tcPr/>
          <w:p>
            <w:pPr>
              <w:pStyle w:val="Compact"/>
            </w:pPr>
            <w:r>
              <w:t xml:space="preserve">uniform</w:t>
            </w:r>
          </w:p>
        </w:tc>
        <w:tc>
          <w:tcPr/>
          <w:p>
            <w:pPr>
              <w:pStyle w:val="Compact"/>
            </w:pPr>
            <w:r>
              <w:t xml:space="preserve">0.5934</w:t>
            </w:r>
          </w:p>
        </w:tc>
        <w:tc>
          <w:tcPr/>
          <w:p>
            <w:pPr>
              <w:pStyle w:val="Compact"/>
            </w:pPr>
            <w:r>
              <w:t xml:space="preserve">0.5925</w:t>
            </w:r>
          </w:p>
        </w:tc>
        <w:tc>
          <w:tcPr/>
          <w:p>
            <w:pPr>
              <w:pStyle w:val="Compact"/>
            </w:pPr>
            <w:r>
              <w:t xml:space="preserve">−0.0009</w:t>
            </w:r>
          </w:p>
        </w:tc>
        <w:tc>
          <w:tcPr/>
          <w:p>
            <w:pPr>
              <w:pStyle w:val="Compact"/>
            </w:pPr>
            <w:r>
              <w:t xml:space="preserve">−0.0120 to +0.0090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Parity (+ history length)</w:t>
            </w:r>
          </w:p>
        </w:tc>
        <w:tc>
          <w:tcPr/>
          <w:p>
            <w:pPr>
              <w:pStyle w:val="Compact"/>
            </w:pPr>
            <w:r>
              <w:t xml:space="preserve">cosine</w:t>
            </w:r>
          </w:p>
        </w:tc>
        <w:tc>
          <w:tcPr/>
          <w:p>
            <w:pPr>
              <w:pStyle w:val="Compact"/>
            </w:pPr>
            <w:r>
              <w:t xml:space="preserve">0.5939</w:t>
            </w:r>
          </w:p>
        </w:tc>
        <w:tc>
          <w:tcPr/>
          <w:p>
            <w:pPr>
              <w:pStyle w:val="Compact"/>
            </w:pPr>
            <w:r>
              <w:t xml:space="preserve">0.5933</w:t>
            </w:r>
          </w:p>
        </w:tc>
        <w:tc>
          <w:tcPr/>
          <w:p>
            <w:pPr>
              <w:pStyle w:val="Compact"/>
            </w:pPr>
            <w:r>
              <w:t xml:space="preserve">−0.0007</w:t>
            </w:r>
          </w:p>
        </w:tc>
        <w:tc>
          <w:tcPr/>
          <w:p>
            <w:pPr>
              <w:pStyle w:val="Compact"/>
            </w:pPr>
            <w:r>
              <w:t xml:space="preserve">−0.0112 to +0.0088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The negative controls hold in both arms: random retrieval sits at 0.496–0.500</w:t>
      </w:r>
      <w:r>
        <w:t xml:space="preserve"> </w:t>
      </w:r>
      <w:r>
        <w:t xml:space="preserve">against the published 0.495–0.499, so the retrieval geometry is behaving as it</w:t>
      </w:r>
      <w:r>
        <w:t xml:space="preserve"> </w:t>
      </w:r>
      <w:r>
        <w:t xml:space="preserve">did.</w:t>
      </w:r>
    </w:p>
    <w:p>
      <w:pPr>
        <w:pStyle w:val="BodyText"/>
      </w:pPr>
      <w:r>
        <w:t xml:space="preserve">Two readings, and the second is the one worth keeping.</w:t>
      </w:r>
    </w:p>
    <w:p>
      <w:pPr>
        <w:pStyle w:val="BodyText"/>
      </w:pPr>
      <w:r>
        <w:rPr>
          <w:b/>
          <w:bCs/>
        </w:rPr>
        <w:t xml:space="preserve">Adding recorded history length does nothing to the neighbour arm.</w:t>
      </w:r>
      <w:r>
        <w:t xml:space="preserve"> </w:t>
      </w:r>
      <w:r>
        <w:t xml:space="preserve">Both</w:t>
      </w:r>
      <w:r>
        <w:t xml:space="preserve"> </w:t>
      </w:r>
      <w:r>
        <w:t xml:space="preserve">intervals straddle zero and both point estimates are under a thousandth of an</w:t>
      </w:r>
      <w:r>
        <w:t xml:space="preserve"> </w:t>
      </w:r>
      <w:r>
        <w:t xml:space="preserve">AUC point.</w:t>
      </w:r>
    </w:p>
    <w:p>
      <w:pPr>
        <w:pStyle w:val="BodyText"/>
      </w:pPr>
      <w:r>
        <w:rPr>
          <w:b/>
          <w:bCs/>
        </w:rPr>
        <w:t xml:space="preserve">The control arm is the more informative row.</w:t>
      </w:r>
      <w:r>
        <w:t xml:space="preserve"> </w:t>
      </w:r>
      <w:r>
        <w:t xml:space="preserve">Re-rendering the narratives</w:t>
      </w:r>
      <w:r>
        <w:t xml:space="preserve"> </w:t>
      </w:r>
      <w:r>
        <w:t xml:space="preserve">with no content change at all moves nearest-retrieval discrimination by about</w:t>
      </w:r>
      <w:r>
        <w:t xml:space="preserve"> </w:t>
      </w:r>
      <w:r>
        <w:t xml:space="preserve">+0.004 — larger, in point estimate, than the field the analysis was built to</w:t>
      </w:r>
      <w:r>
        <w:t xml:space="preserve"> </w:t>
      </w:r>
      <w:r>
        <w:t xml:space="preserve">test, and in the opposite direction. That is the scale of the arm’s sensitivity</w:t>
      </w:r>
      <w:r>
        <w:t xml:space="preserve"> </w:t>
      </w:r>
      <w:r>
        <w:t xml:space="preserve">to a rebuild of its own inputs, and it is not something the paper previously had</w:t>
      </w:r>
      <w:r>
        <w:t xml:space="preserve"> </w:t>
      </w:r>
      <w:r>
        <w:t xml:space="preserve">a number for. It is also why the control arm was not padding: without it, the</w:t>
      </w:r>
      <w:r>
        <w:t xml:space="preserve"> </w:t>
      </w:r>
      <w:r>
        <w:t xml:space="preserve">parity arm’s −0.001 would have been read as</w:t>
      </w:r>
      <w:r>
        <w:t xml:space="preserve"> </w:t>
      </w:r>
      <w:r>
        <w:t xml:space="preserve">“the field costs nothing”</w:t>
      </w:r>
      <w:r>
        <w:t xml:space="preserve"> </w:t>
      </w:r>
      <w:r>
        <w:t xml:space="preserve">when the</w:t>
      </w:r>
      <w:r>
        <w:t xml:space="preserve"> </w:t>
      </w:r>
      <w:r>
        <w:t xml:space="preserve">honest statement is that a difference this size is below the noise floor of</w:t>
      </w:r>
      <w:r>
        <w:t xml:space="preserve"> </w:t>
      </w:r>
      <w:r>
        <w:t xml:space="preserve">re-rendering at all.</w:t>
      </w:r>
    </w:p>
    <w:bookmarkEnd w:id="27"/>
    <w:bookmarkStart w:id="28" w:name="X0d34ec4fee751722d6fb7ca1d32eaa6a25dc35d"/>
    <w:p>
      <w:pPr>
        <w:pStyle w:val="Heading3"/>
      </w:pPr>
      <w:r>
        <w:t xml:space="preserve">3.3 The head-to-head comparison survives, and the interaction survives with it</w:t>
      </w:r>
    </w:p>
    <w:p>
      <w:pPr>
        <w:pStyle w:val="FirstParagraph"/>
      </w:pPr>
      <w:r>
        <w:t xml:space="preserve">The embedded arms against the feature arm, both on matched inputs, paired on the</w:t>
      </w:r>
      <w:r>
        <w:t xml:space="preserve"> </w:t>
      </w:r>
      <w:r>
        <w:t xml:space="preserve">same held-out patients. The published contrast is shown beside each for</w:t>
      </w:r>
      <w:r>
        <w:t xml:space="preserve"> </w:t>
      </w:r>
      <w:r>
        <w:t xml:space="preserve">comparison.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Matched Δ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Excludes zero</w:t>
            </w:r>
          </w:p>
        </w:tc>
        <w:tc>
          <w:tcPr/>
          <w:p>
            <w:pPr>
              <w:pStyle w:val="Compact"/>
            </w:pPr>
            <w:r>
              <w:t xml:space="preserve">Published 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vs best</w:t>
            </w:r>
            <w:r>
              <w:t xml:space="preserve"> </w:t>
            </w:r>
            <w:r>
              <w:t xml:space="preserve">(embedded LR vs feature XGBoost)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+0.0087</w:t>
            </w:r>
          </w:p>
        </w:tc>
        <w:tc>
          <w:tcPr/>
          <w:p>
            <w:pPr>
              <w:pStyle w:val="Compact"/>
            </w:pPr>
            <w:r>
              <w:t xml:space="preserve">−0.0018 to +0.0188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+0.0079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vs best</w:t>
            </w:r>
          </w:p>
        </w:tc>
        <w:tc>
          <w:tcPr/>
          <w:p>
            <w:pPr>
              <w:pStyle w:val="Compact"/>
            </w:pPr>
            <w:r>
              <w:t xml:space="preserve">parity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+0.0069</w:t>
            </w:r>
          </w:p>
        </w:tc>
        <w:tc>
          <w:tcPr/>
          <w:p>
            <w:pPr>
              <w:pStyle w:val="Compact"/>
            </w:pPr>
            <w:r>
              <w:t xml:space="preserve">−0.0035 to +0.0164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+0.0079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regression, classifier fixed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+0.0168</w:t>
            </w:r>
          </w:p>
        </w:tc>
        <w:tc>
          <w:tcPr/>
          <w:p>
            <w:pPr>
              <w:pStyle w:val="Compact"/>
            </w:pPr>
            <w:r>
              <w:t xml:space="preserve">+0.0061 to +0.0267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+0.0283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regression, classifier fixed</w:t>
            </w:r>
          </w:p>
        </w:tc>
        <w:tc>
          <w:tcPr/>
          <w:p>
            <w:pPr>
              <w:pStyle w:val="Compact"/>
            </w:pPr>
            <w:r>
              <w:t xml:space="preserve">parity</w:t>
            </w:r>
          </w:p>
        </w:tc>
        <w:tc>
          <w:tcPr/>
          <w:p>
            <w:pPr>
              <w:pStyle w:val="Compact"/>
            </w:pPr>
            <w:r>
              <w:t xml:space="preserve">+0.0150</w:t>
            </w:r>
          </w:p>
        </w:tc>
        <w:tc>
          <w:tcPr/>
          <w:p>
            <w:pPr>
              <w:pStyle w:val="Compact"/>
            </w:pPr>
            <w:r>
              <w:t xml:space="preserve">+0.0045 to +0.0247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+0.0283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XGBoost, classifier fixed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−0.0137</w:t>
            </w:r>
          </w:p>
        </w:tc>
        <w:tc>
          <w:tcPr/>
          <w:p>
            <w:pPr>
              <w:pStyle w:val="Compact"/>
            </w:pPr>
            <w:r>
              <w:t xml:space="preserve">−0.0250 to −0.0033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−0.0135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XGBoost, classifier fixed</w:t>
            </w:r>
          </w:p>
        </w:tc>
        <w:tc>
          <w:tcPr/>
          <w:p>
            <w:pPr>
              <w:pStyle w:val="Compact"/>
            </w:pPr>
            <w:r>
              <w:t xml:space="preserve">parity</w:t>
            </w:r>
          </w:p>
        </w:tc>
        <w:tc>
          <w:tcPr/>
          <w:p>
            <w:pPr>
              <w:pStyle w:val="Compact"/>
            </w:pPr>
            <w:r>
              <w:t xml:space="preserve">−0.0135</w:t>
            </w:r>
          </w:p>
        </w:tc>
        <w:tc>
          <w:tcPr/>
          <w:p>
            <w:pPr>
              <w:pStyle w:val="Compact"/>
            </w:pPr>
            <w:r>
              <w:t xml:space="preserve">−0.0243 to −0.0037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−0.0135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headline null holds, and it holds slightly more comfortably than it did.</w:t>
      </w:r>
      <w:r>
        <w:t xml:space="preserve"> </w:t>
      </w:r>
      <w:r>
        <w:t xml:space="preserve">Neither best-versus-best interval excludes zero. In the parity arm — the one with</w:t>
      </w:r>
      <w:r>
        <w:t xml:space="preserve"> </w:t>
      </w:r>
      <w:r>
        <w:t xml:space="preserve">both asymmetries closed — the point estimate falls from +0.008 to +0.007 and the</w:t>
      </w:r>
      <w:r>
        <w:t xml:space="preserve"> </w:t>
      </w:r>
      <w:r>
        <w:t xml:space="preserve">interval tightens marginally.</w:t>
      </w:r>
      <w:r>
        <w:t xml:space="preserve"> </w:t>
      </w:r>
      <w:r>
        <w:rPr>
          <w:b/>
          <w:bCs/>
        </w:rPr>
        <w:t xml:space="preserve">The published comparison stands as reported, and</w:t>
      </w:r>
      <w:r>
        <w:rPr>
          <w:b/>
          <w:bCs/>
        </w:rPr>
        <w:t xml:space="preserve"> </w:t>
      </w:r>
      <w:r>
        <w:rPr>
          <w:b/>
          <w:bCs/>
        </w:rPr>
        <w:t xml:space="preserve">the field mismatch does not carry it.</w:t>
      </w:r>
      <w:r>
        <w:t xml:space="preserve"> </w:t>
      </w:r>
      <w:r>
        <w:t xml:space="preserve">By the rule fixed before any arm</w:t>
      </w:r>
      <w:r>
        <w:t xml:space="preserve"> </w:t>
      </w:r>
      <w:r>
        <w:t xml:space="preserve">reported, no full pipeline pass is required.</w:t>
      </w:r>
    </w:p>
    <w:p>
      <w:pPr>
        <w:pStyle w:val="BodyText"/>
      </w:pPr>
      <w:r>
        <w:rPr>
          <w:b/>
          <w:bCs/>
        </w:rPr>
        <w:t xml:space="preserve">The classifier-by-representation interaction survives, but the positive half of</w:t>
      </w:r>
      <w:r>
        <w:rPr>
          <w:b/>
          <w:bCs/>
        </w:rPr>
        <w:t xml:space="preserve"> </w:t>
      </w:r>
      <w:r>
        <w:rPr>
          <w:b/>
          <w:bCs/>
        </w:rPr>
        <w:t xml:space="preserve">it is roughly halved.</w:t>
      </w:r>
      <w:r>
        <w:t xml:space="preserve"> </w:t>
      </w:r>
      <w:r>
        <w:t xml:space="preserve">Holding the classifier fixed, the embedding remains</w:t>
      </w:r>
      <w:r>
        <w:t xml:space="preserve"> </w:t>
      </w:r>
      <w:r>
        <w:t xml:space="preserve">significantly better for logistic regression and significantly worse for</w:t>
      </w:r>
      <w:r>
        <w:t xml:space="preserve"> </w:t>
      </w:r>
      <w:r>
        <w:t xml:space="preserve">XGBoost — the two-effects-of-opposite-sign structure the paper reports is intact,</w:t>
      </w:r>
      <w:r>
        <w:t xml:space="preserve"> </w:t>
      </w:r>
      <w:r>
        <w:t xml:space="preserve">and it is what continues to produce a null at best-versus-best. But the logistic-</w:t>
      </w:r>
      <w:r>
        <w:t xml:space="preserve"> </w:t>
      </w:r>
      <w:r>
        <w:t xml:space="preserve">regression contrast falls from +0.028 to +0.015 once the feature arm has its</w:t>
      </w:r>
      <w:r>
        <w:t xml:space="preserve"> </w:t>
      </w:r>
      <w:r>
        <w:t xml:space="preserve">vitals, which is most of the way to the boundary while still clearing it. That is</w:t>
      </w:r>
      <w:r>
        <w:t xml:space="preserve"> </w:t>
      </w:r>
      <w:r>
        <w:t xml:space="preserve">the predicted direction and very close to the predicted magnitude: closing the</w:t>
      </w:r>
      <w:r>
        <w:t xml:space="preserve"> </w:t>
      </w:r>
      <w:r>
        <w:t xml:space="preserve">gap lifts the feature arm, and the arm the embedding was beating is the one that</w:t>
      </w:r>
      <w:r>
        <w:t xml:space="preserve"> </w:t>
      </w:r>
      <w:r>
        <w:t xml:space="preserve">gained. The XGBoost half is unmoved at −0.0135, identical to the published value</w:t>
      </w:r>
      <w:r>
        <w:t xml:space="preserve"> </w:t>
      </w:r>
      <w:r>
        <w:t xml:space="preserve">to four decimals.</w:t>
      </w:r>
    </w:p>
    <w:p>
      <w:pPr>
        <w:pStyle w:val="BodyText"/>
      </w:pPr>
      <w:r>
        <w:rPr>
          <w:b/>
          <w:bCs/>
        </w:rPr>
        <w:t xml:space="preserve">Re-rendering costs the classifier arms nothing</w:t>
      </w:r>
      <w:r>
        <w:t xml:space="preserve">, unlike the neighbour arm.</w:t>
      </w:r>
      <w:r>
        <w:t xml:space="preserve"> </w:t>
      </w:r>
      <w:r>
        <w:t xml:space="preserve">Every within-representation contrast against the published embedded arm is null:</w:t>
      </w:r>
      <w:r>
        <w:t xml:space="preserve"> </w:t>
      </w:r>
      <w:r>
        <w:t xml:space="preserve">the control arm moves logistic regression +0.0029 (−0.0014 to +0.0072) and</w:t>
      </w:r>
      <w:r>
        <w:t xml:space="preserve"> </w:t>
      </w:r>
      <w:r>
        <w:t xml:space="preserve">XGBoost +0.0020 (−0.0045 to +0.0082); the parity arm moves them +0.0011 (−0.0037</w:t>
      </w:r>
      <w:r>
        <w:t xml:space="preserve"> </w:t>
      </w:r>
      <w:r>
        <w:t xml:space="preserve">to +0.0056) and +0.0021 (−0.0042 to +0.0087). So the embedded representation’s</w:t>
      </w:r>
      <w:r>
        <w:t xml:space="preserve"> </w:t>
      </w:r>
      <w:r>
        <w:t xml:space="preserve">discrimination is stable to a rebuild of its own inputs when it is read by a</w:t>
      </w:r>
      <w:r>
        <w:t xml:space="preserve"> </w:t>
      </w:r>
      <w:r>
        <w:t xml:space="preserve">fitted classifier, and mildly unstable when it is read by nearest-neighbour</w:t>
      </w:r>
      <w:r>
        <w:t xml:space="preserve"> </w:t>
      </w:r>
      <w:r>
        <w:t xml:space="preserve">retrieval (§3.2) — which makes sense, since retrieval consumes the geometry</w:t>
      </w:r>
      <w:r>
        <w:t xml:space="preserve"> </w:t>
      </w:r>
      <w:r>
        <w:t xml:space="preserve">directly while a fitted model re-optimizes against whatever geometry it is given.</w:t>
      </w:r>
    </w:p>
    <w:p>
      <w:pPr>
        <w:pStyle w:val="BodyText"/>
      </w:pPr>
      <w:r>
        <w:rPr>
          <w:b/>
          <w:bCs/>
        </w:rPr>
        <w:t xml:space="preserve">One thing that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stable, and the paper makes a claim about it.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discrimination is reproducible; the</w:t>
      </w:r>
      <w:r>
        <w:t xml:space="preserve"> </w:t>
      </w:r>
      <w:r>
        <w:rPr>
          <w:i/>
          <w:iCs/>
        </w:rPr>
        <w:t xml:space="preserve">selected model</w:t>
      </w:r>
      <w:r>
        <w:t xml:space="preserve"> </w:t>
      </w:r>
      <w:r>
        <w:t xml:space="preserve">is not. The published</w:t>
      </w:r>
      <w:r>
        <w:t xml:space="preserve"> </w:t>
      </w:r>
      <w:r>
        <w:t xml:space="preserve">embedded logistic regression chose an elasticnet penalty (C = 0.01, L1 ratio</w:t>
      </w:r>
      <w:r>
        <w:t xml:space="preserve"> </w:t>
      </w:r>
      <w:r>
        <w:t xml:space="preserve">0.25) and is sparse — the manuscript reports that only 385 of the 4,096</w:t>
      </w:r>
      <w:r>
        <w:t xml:space="preserve"> </w:t>
      </w:r>
      <w:r>
        <w:t xml:space="preserve">dimensions carry nonzero weight. Both re-rendered arms instead chose plain L2 at</w:t>
      </w:r>
      <w:r>
        <w:t xml:space="preserve"> </w:t>
      </w:r>
      <w:r>
        <w:t xml:space="preserve">C = 0.001, a dense ridge fit, and XGBoost moved from depth 8 to depth 5. Nothing</w:t>
      </w:r>
      <w:r>
        <w:t xml:space="preserve"> </w:t>
      </w:r>
      <w:r>
        <w:t xml:space="preserve">about the reported discrimination changes: the two penalties land within 0.003</w:t>
      </w:r>
      <w:r>
        <w:t xml:space="preserve"> </w:t>
      </w:r>
      <w:r>
        <w:t xml:space="preserve">AUC of each other and the interval on that difference includes zero. But it means</w:t>
      </w:r>
      <w:r>
        <w:t xml:space="preserve"> </w:t>
      </w:r>
      <w:r>
        <w:t xml:space="preserve">the sparsity result is a property of the fit obtained on the published narratives</w:t>
      </w:r>
      <w:r>
        <w:t xml:space="preserve"> </w:t>
      </w:r>
      <w:r>
        <w:t xml:space="preserve">rather than a stable property of the representation, and a rebuild carrying the</w:t>
      </w:r>
      <w:r>
        <w:t xml:space="preserve"> </w:t>
      </w:r>
      <w:r>
        <w:t xml:space="preserve">same information can select a dense solution that discriminates just as well.</w:t>
      </w:r>
      <w:r>
        <w:t xml:space="preserve"> </w:t>
      </w:r>
      <w:r>
        <w:t xml:space="preserve">Read the sparsity claim as descriptive of the published model, which is what it</w:t>
      </w:r>
      <w:r>
        <w:t xml:space="preserve"> </w:t>
      </w:r>
      <w:r>
        <w:t xml:space="preserve">says, and not as evidence that the predictive structure in the embedding is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concentrated in a few hundred dimensions.</w:t>
      </w:r>
    </w:p>
    <w:bookmarkEnd w:id="28"/>
    <w:bookmarkEnd w:id="29"/>
    <w:bookmarkStart w:id="30" w:name="X81fe6c82abf6495f8f8bea2fe84bea131842a70"/>
    <w:p>
      <w:pPr>
        <w:pStyle w:val="Heading2"/>
      </w:pPr>
      <w:r>
        <w:t xml:space="preserve">4. What this establishes, and what it does not</w:t>
      </w:r>
    </w:p>
    <w:p>
      <w:pPr>
        <w:pStyle w:val="FirstParagraph"/>
      </w:pPr>
      <w:r>
        <w:rPr>
          <w:b/>
          <w:bCs/>
        </w:rPr>
        <w:t xml:space="preserve">Establishes.</w:t>
      </w:r>
      <w:r>
        <w:t xml:space="preserve"> </w:t>
      </w:r>
      <w:r>
        <w:t xml:space="preserve">That the two largest field asymmetries were closed and measured</w:t>
      </w:r>
      <w:r>
        <w:t xml:space="preserve"> </w:t>
      </w:r>
      <w:r>
        <w:t xml:space="preserve">rather than conceded, and that the primary comparison is unchanged by closing</w:t>
      </w:r>
      <w:r>
        <w:t xml:space="preserve"> </w:t>
      </w:r>
      <w:r>
        <w:t xml:space="preserve">them: the best-versus-best contrast remains a null, at +0.007 with both changes</w:t>
      </w:r>
      <w:r>
        <w:t xml:space="preserve"> </w:t>
      </w:r>
      <w:r>
        <w:t xml:space="preserve">in place against +0.008 as published. That the feature vector’s missing vitals</w:t>
      </w:r>
      <w:r>
        <w:t xml:space="preserve"> </w:t>
      </w:r>
      <w:r>
        <w:t xml:space="preserve">were worth about 0.014 AUC to a linear model and nothing to a tree ensemble, most</w:t>
      </w:r>
      <w:r>
        <w:t xml:space="preserve"> </w:t>
      </w:r>
      <w:r>
        <w:t xml:space="preserve">of it showing up as calibration rather than discrimination. That recorded history</w:t>
      </w:r>
      <w:r>
        <w:t xml:space="preserve"> </w:t>
      </w:r>
      <w:r>
        <w:t xml:space="preserve">length is worth nothing measurable to either the narrative’s neighbour arm or its</w:t>
      </w:r>
      <w:r>
        <w:t xml:space="preserve"> </w:t>
      </w:r>
      <w:r>
        <w:t xml:space="preserve">classifier arms. That the classifier-by-representation interaction is real enough</w:t>
      </w:r>
      <w:r>
        <w:t xml:space="preserve"> </w:t>
      </w:r>
      <w:r>
        <w:t xml:space="preserve">to survive the manipulation, though its positive half halves. And two stability</w:t>
      </w:r>
      <w:r>
        <w:t xml:space="preserve"> </w:t>
      </w:r>
      <w:r>
        <w:t xml:space="preserve">facts the paper did not previously have: re-rendering the narratives moves the</w:t>
      </w:r>
      <w:r>
        <w:t xml:space="preserve"> </w:t>
      </w:r>
      <w:r>
        <w:t xml:space="preserve">neighbour arm by about as much as the field under test does, while leaving the</w:t>
      </w:r>
      <w:r>
        <w:t xml:space="preserve"> </w:t>
      </w:r>
      <w:r>
        <w:t xml:space="preserve">fitted classifiers untouched, and the</w:t>
      </w:r>
      <w:r>
        <w:t xml:space="preserve"> </w:t>
      </w:r>
      <w:r>
        <w:rPr>
          <w:i/>
          <w:iCs/>
        </w:rPr>
        <w:t xml:space="preserve">selected</w:t>
      </w:r>
      <w:r>
        <w:t xml:space="preserve"> </w:t>
      </w:r>
      <w:r>
        <w:t xml:space="preserve">embedded model is not stable</w:t>
      </w:r>
      <w:r>
        <w:t xml:space="preserve"> </w:t>
      </w:r>
      <w:r>
        <w:t xml:space="preserve">across a rebuild even where its discrimination is.</w:t>
      </w:r>
    </w:p>
    <w:p>
      <w:pPr>
        <w:pStyle w:val="BodyText"/>
      </w:pPr>
      <w:r>
        <w:rPr>
          <w:b/>
          <w:bCs/>
        </w:rPr>
        <w:t xml:space="preserve">Does not establish.</w:t>
      </w:r>
      <w:r>
        <w:t xml:space="preserve"> </w:t>
      </w:r>
      <w:r>
        <w:t xml:space="preserve">That the representations are now matched — nine</w:t>
      </w:r>
      <w:r>
        <w:t xml:space="preserve"> </w:t>
      </w:r>
      <w:r>
        <w:t xml:space="preserve">asymmetries remain, all favouring the narrative, and closing them would require</w:t>
      </w:r>
      <w:r>
        <w:t xml:space="preserve"> </w:t>
      </w:r>
      <w:r>
        <w:t xml:space="preserve">invalidating every embedding and cached judgement in the study. That the result</w:t>
      </w:r>
      <w:r>
        <w:t xml:space="preserve"> </w:t>
      </w:r>
      <w:r>
        <w:t xml:space="preserve">generalizes across encoders: one encoder was used. That the ablation slate is</w:t>
      </w:r>
      <w:r>
        <w:t xml:space="preserve"> </w:t>
      </w:r>
      <w:r>
        <w:t xml:space="preserve">unaffected: it was not re-scored, and it sits downstream of the narrative text.</w:t>
      </w:r>
      <w:r>
        <w:t xml:space="preserve"> </w:t>
      </w:r>
      <w:r>
        <w:t xml:space="preserve">And it says nothing about the four classifiers not fitted here — in particular,</w:t>
      </w:r>
      <w:r>
        <w:t xml:space="preserve"> </w:t>
      </w:r>
      <w:r>
        <w:t xml:space="preserve">the random-forest and gradient-boosting halves of the published interaction were</w:t>
      </w:r>
      <w:r>
        <w:t xml:space="preserve"> </w:t>
      </w:r>
      <w:r>
        <w:t xml:space="preserve">not re-tested.</w:t>
      </w:r>
    </w:p>
    <w:bookmarkEnd w:id="30"/>
    <w:bookmarkStart w:id="31" w:name="provenance"/>
    <w:p>
      <w:pPr>
        <w:pStyle w:val="Heading2"/>
      </w:pPr>
      <w:r>
        <w:t xml:space="preserve">5. Provenance</w:t>
      </w:r>
    </w:p>
    <w:p>
      <w:pPr>
        <w:pStyle w:val="FirstParagraph"/>
      </w:pPr>
      <w:r>
        <w:t xml:space="preserve">Every number quoted above is tracked alongside this document in</w:t>
      </w:r>
      <w:r>
        <w:t xml:space="preserve"> </w:t>
      </w:r>
      <w:r>
        <w:rPr>
          <w:rStyle w:val="VerbatimChar"/>
        </w:rPr>
        <w:t xml:space="preserve">parity_results/</w:t>
      </w:r>
      <w:r>
        <w:t xml:space="preserve">, which is the only version-controlled copy:</w:t>
      </w:r>
      <w:r>
        <w:t xml:space="preserve"> </w:t>
      </w:r>
      <w:r>
        <w:rPr>
          <w:rStyle w:val="VerbatimChar"/>
        </w:rPr>
        <w:t xml:space="preserve">TRD-EHR/results/</w:t>
      </w:r>
      <w:r>
        <w:t xml:space="preserve"> </w:t>
      </w:r>
      <w:r>
        <w:t xml:space="preserve">is gitignored in its own repository, and the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symlink at the root of</w:t>
      </w:r>
      <w:r>
        <w:t xml:space="preserve"> </w:t>
      </w:r>
      <w:r>
        <w:t xml:space="preserve">this one is gitignored here as well, so neither repo’s history otherwise carries</w:t>
      </w:r>
      <w:r>
        <w:t xml:space="preserve"> </w:t>
      </w:r>
      <w:r>
        <w:t xml:space="preserve">the numbers. That directory’s README says what it holds and what it does not.</w:t>
      </w:r>
    </w:p>
    <w:p>
      <w:pPr>
        <w:pStyle w:val="BodyText"/>
      </w:pPr>
      <w:r>
        <w:t xml:space="preserve">The live originals, and everything too large to track: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table and 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results/review/parity/parity_summary.{csv,json}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Per-arm 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results/review/parity/&lt;arm&gt;/metrics.json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Per-patient held-out probabilities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results/review/parity/&lt;arm&gt;/test_predictions.parquet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Neighbour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results/review/parity/&lt;arm&gt;/knn_results.json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summary_predictions.csv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and drivers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scripts/pipeline/review/parity/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slurm_jobs/review/parity_*.sbatch</w:t>
            </w:r>
          </w:p>
        </w:tc>
      </w:tr>
    </w:tbl>
    <w:p>
      <w:pPr>
        <w:pStyle w:val="BodyText"/>
      </w:pPr>
      <w:r>
        <w:t xml:space="preserve">Paths in that table are relative to the</w:t>
      </w:r>
      <w:r>
        <w:t xml:space="preserve"> </w:t>
      </w:r>
      <w:r>
        <w:rPr>
          <w:rStyle w:val="VerbatimChar"/>
        </w:rPr>
        <w:t xml:space="preserve">TRD-EHR</w:t>
      </w:r>
      <w:r>
        <w:t xml:space="preserve"> </w:t>
      </w:r>
      <w:r>
        <w:t xml:space="preserve">repository, whose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tree is itself a mirror of</w:t>
      </w:r>
      <w:r>
        <w:t xml:space="preserve"> </w:t>
      </w:r>
      <w:r>
        <w:rPr>
          <w:rStyle w:val="VerbatimChar"/>
        </w:rPr>
        <w:t xml:space="preserve">ARTIFACTS_DIR/review/parity/</w:t>
      </w:r>
      <w:r>
        <w:t xml:space="preserve">. The narratives,</w:t>
      </w:r>
      <w:r>
        <w:t xml:space="preserve"> </w:t>
      </w:r>
      <w:r>
        <w:t xml:space="preserve">embedding databases and trained model objects are excluded from the mirror by</w:t>
      </w:r>
      <w:r>
        <w:t xml:space="preserve"> </w:t>
      </w:r>
      <w:r>
        <w:t xml:space="preserve">size and exist only under</w:t>
      </w:r>
      <w:r>
        <w:t xml:space="preserve"> </w:t>
      </w:r>
      <w:r>
        <w:rPr>
          <w:rStyle w:val="VerbatimChar"/>
        </w:rPr>
        <w:t xml:space="preserve">ARTIFACTS_DIR</w:t>
      </w:r>
      <w:r>
        <w:t xml:space="preserve">. Regenerate the summary with</w:t>
      </w:r>
      <w:r>
        <w:t xml:space="preserve"> </w:t>
      </w:r>
      <w:r>
        <w:rPr>
          <w:rStyle w:val="VerbatimChar"/>
        </w:rPr>
        <w:t xml:space="preserve">python -m scripts.pipeline.review.parity.summarize</w:t>
      </w:r>
      <w:r>
        <w:t xml:space="preserve">, then re-copy</w:t>
      </w:r>
      <w:r>
        <w:t xml:space="preserve"> </w:t>
      </w:r>
      <w:r>
        <w:rPr>
          <w:rStyle w:val="VerbatimChar"/>
        </w:rPr>
        <w:t xml:space="preserve">parity_results/</w:t>
      </w:r>
      <w:r>
        <w:t xml:space="preserve">.</w:t>
      </w:r>
    </w:p>
    <w:bookmarkEnd w:id="31"/>
    <w:bookmarkStart w:id="32" w:name="run-history"/>
    <w:p>
      <w:pPr>
        <w:pStyle w:val="Heading2"/>
      </w:pPr>
      <w:r>
        <w:t xml:space="preserve">6. Run history</w:t>
      </w:r>
    </w:p>
    <w:p>
      <w:pPr>
        <w:pStyle w:val="FirstParagraph"/>
      </w:pPr>
      <w:r>
        <w:t xml:space="preserve">The three arms were submitted 2026-08-28. The feature arm completed the same</w:t>
      </w:r>
      <w:r>
        <w:t xml:space="preserve"> </w:t>
      </w:r>
      <w:r>
        <w:t xml:space="preserve">evening. Both narrative arms — a four-stage chain of render, embed, neighbours,</w:t>
      </w:r>
      <w:r>
        <w:t xml:space="preserve"> </w:t>
      </w:r>
      <w:r>
        <w:t xml:space="preserve">fit — were killed at the twelve-hour wall on 2026-08-29 at 04:56, part-way</w:t>
      </w:r>
      <w:r>
        <w:t xml:space="preserve"> </w:t>
      </w:r>
      <w:r>
        <w:t xml:space="preserve">through the embedded logistic-regression grid search, with everything upstream</w:t>
      </w:r>
      <w:r>
        <w:t xml:space="preserve"> </w:t>
      </w:r>
      <w:r>
        <w:t xml:space="preserve">of the fit complete on disk. The recovery job ran the fit alone and both arms</w:t>
      </w:r>
      <w:r>
        <w:t xml:space="preserve"> </w:t>
      </w:r>
      <w:r>
        <w:t xml:space="preserve">completed on 2026-08-30; the embedded logistic-regression grid took 6.0 hours per</w:t>
      </w:r>
      <w:r>
        <w:t xml:space="preserve"> </w:t>
      </w:r>
      <w:r>
        <w:t xml:space="preserve">arm even at the wider allocation, against 4.9 in the published run.</w:t>
      </w:r>
    </w:p>
    <w:p>
      <w:pPr>
        <w:pStyle w:val="BodyText"/>
      </w:pPr>
      <w:r>
        <w:t xml:space="preserve">Two causes, both recorded because they are the kind that recur. The submitted</w:t>
      </w:r>
      <w:r>
        <w:t xml:space="preserve"> </w:t>
      </w:r>
      <w:r>
        <w:t xml:space="preserve">copy of the job ran the neighbour stage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classifier fit, so the stage</w:t>
      </w:r>
      <w:r>
        <w:t xml:space="preserve"> </w:t>
      </w:r>
      <w:r>
        <w:t xml:space="preserve">the decision rests on received whatever time the cheaper corroboration left it;</w:t>
      </w:r>
      <w:r>
        <w:t xml:space="preserve"> </w:t>
      </w:r>
      <w:r>
        <w:t xml:space="preserve">the job script has since been reordered to fit first. And it requested 16 CPUs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runs 16 worker processes, leaving each worker’s BLAS a</w:t>
      </w:r>
      <w:r>
        <w:t xml:space="preserve"> </w:t>
      </w:r>
      <w:r>
        <w:t xml:space="preserve">single core on a fully subscribed allocation — the published run fitted the same</w:t>
      </w:r>
      <w:r>
        <w:t xml:space="preserve"> </w:t>
      </w:r>
      <w:r>
        <w:t xml:space="preserve">grid on the same matrix in 4.9 hours with 48 CPUs. The recovery job</w:t>
      </w:r>
      <w:r>
        <w:t xml:space="preserve"> </w:t>
      </w:r>
      <w:r>
        <w:t xml:space="preserve">(</w:t>
      </w:r>
      <w:r>
        <w:rPr>
          <w:rStyle w:val="VerbatimChar"/>
        </w:rPr>
        <w:t xml:space="preserve">parity_narrative_fit.sbatch</w:t>
      </w:r>
      <w:r>
        <w:t xml:space="preserve">) runs the fit stage standalone against the</w:t>
      </w:r>
      <w:r>
        <w:t xml:space="preserve"> </w:t>
      </w:r>
      <w:r>
        <w:t xml:space="preserve">surviving embeddings, at 48 CPUs, with no GPU and no re-render.</w:t>
      </w:r>
    </w:p>
    <w:bookmarkEnd w:id="32"/>
    <w:bookmarkEnd w:id="33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2026-10-10T14:41:31Z</dcterms:created>
  <dcterms:modified xsi:type="dcterms:W3CDTF">2026-10-10T14:41:31Z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