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  <Override PartName="/word/media/rId85.png" ContentType="image/png"/>
  <Override PartName="/word/media/rId79.png" ContentType="image/png"/>
  <Override PartName="/word/media/rId82.png" ContentType="image/png"/>
  <Override PartName="/word/media/rId47.png" ContentType="image/png"/>
  <Override PartName="/word/media/rId57.png" ContentType="image/png"/>
  <Override PartName="/word/media/rId51.png" ContentType="image/png"/>
  <Override PartName="/word/media/rId54.png" ContentType="image/png"/>
  <Override PartName="/word/media/rId60.png" ContentType="image/png"/>
  <Override PartName="/word/media/rId65.png" ContentType="image/png"/>
  <Override PartName="/word/media/rId68.png" ContentType="image/png"/>
  <Override PartName="/word/media/rId76.png" ContentType="image/png"/>
  <Override PartName="/word/media/rId73.png" ContentType="image/png"/>
  <Override PartName="/word/media/rId41.png" ContentType="image/png"/>
  <Override PartName="/word/media/rId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i/>
          <w:iCs/>
        </w:rPr>
        <w:t xml:space="preserve">Supplements M1-M13 are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Supplementary Methods</w:t>
      </w:r>
      <w:r>
        <w:rPr>
          <w:i/>
          <w:iCs/>
        </w:rPr>
        <w:t xml:space="preserve">. They carry the methodological</w:t>
      </w:r>
      <w:r>
        <w:rPr>
          <w:i/>
          <w:iCs/>
        </w:rPr>
        <w:t xml:space="preserve"> </w:t>
      </w:r>
      <w:r>
        <w:rPr>
          <w:i/>
          <w:iCs/>
        </w:rPr>
        <w:t xml:space="preserve">detail condensed out of the main text. Every statement in them is a fuller form of</w:t>
      </w:r>
      <w:r>
        <w:rPr>
          <w:i/>
          <w:iCs/>
        </w:rPr>
        <w:t xml:space="preserve"> </w:t>
      </w:r>
      <w:r>
        <w:rPr>
          <w:i/>
          <w:iCs/>
        </w:rPr>
        <w:t xml:space="preserve">something the Methods section states or points at, and nothing reported in the main text</w:t>
      </w:r>
      <w:r>
        <w:rPr>
          <w:i/>
          <w:iCs/>
        </w:rPr>
        <w:t xml:space="preserve"> </w:t>
      </w:r>
      <w:r>
        <w:rPr>
          <w:i/>
          <w:iCs/>
        </w:rPr>
        <w:t xml:space="preserve">depends on material appearing only here. Supplements S1-S12 are supporting analyses and</w:t>
      </w:r>
      <w:r>
        <w:rPr>
          <w:i/>
          <w:iCs/>
        </w:rPr>
        <w:t xml:space="preserve"> </w:t>
      </w:r>
      <w:r>
        <w:rPr>
          <w:i/>
          <w:iCs/>
        </w:rPr>
        <w:t xml:space="preserve">extended results.</w:t>
      </w:r>
    </w:p>
    <w:bookmarkStart w:id="20" w:name="X9df6a2b08714b13376db3b1eb677cd595c82ace"/>
    <w:p>
      <w:pPr>
        <w:pStyle w:val="Heading1"/>
      </w:pPr>
      <w:r>
        <w:t xml:space="preserve">Supplement M1. Source data, setting, and sampling frame</w:t>
      </w:r>
    </w:p>
    <w:p>
      <w:pPr>
        <w:pStyle w:val="FirstParagraph"/>
      </w:pPr>
      <w:r>
        <w:t xml:space="preserve">The study used a single de-identified extract from the Epic electronic health record</w:t>
      </w:r>
      <w:r>
        <w:t xml:space="preserve"> </w:t>
      </w:r>
      <w:r>
        <w:t xml:space="preserve">(EHR) of Saint Francis Health System. Seven files were delivered: person, encounter, diagnosis, medication, procedure</w:t>
      </w:r>
      <w:r>
        <w:t xml:space="preserve"> </w:t>
      </w:r>
      <w:r>
        <w:t xml:space="preserve">and laboratory/flowsheet tables, together with a medication-to-RxNorm mapping table. The</w:t>
      </w:r>
      <w:r>
        <w:t xml:space="preserve"> </w:t>
      </w:r>
      <w:r>
        <w:t xml:space="preserve">clinical tables came from the Caboodle enterprise data warehouse and the RxNorm mapping</w:t>
      </w:r>
      <w:r>
        <w:t xml:space="preserve"> </w:t>
      </w:r>
      <w:r>
        <w:t xml:space="preserve">from the Clarity reporting database. Body mass index and systolic and diastolic blood</w:t>
      </w:r>
      <w:r>
        <w:t xml:space="preserve"> </w:t>
      </w:r>
      <w:r>
        <w:t xml:space="preserve">pressure came from the laboratory/flowsheet table. Each table was delivered as a flat</w:t>
      </w:r>
      <w:r>
        <w:t xml:space="preserve"> </w:t>
      </w:r>
      <w:r>
        <w:t xml:space="preserve">file after patient and encounter keys had been replaced by one-way MD5 hashes, and was</w:t>
      </w:r>
      <w:r>
        <w:t xml:space="preserve"> </w:t>
      </w:r>
      <w:r>
        <w:t xml:space="preserve">transferred by secure file transfer protocol. No names, medical record numbers, direct</w:t>
      </w:r>
      <w:r>
        <w:t xml:space="preserve"> </w:t>
      </w:r>
      <w:r>
        <w:t xml:space="preserve">identifiers or dates of birth were included.</w:t>
      </w:r>
    </w:p>
    <w:p>
      <w:pPr>
        <w:pStyle w:val="BodyText"/>
      </w:pPr>
      <w:r>
        <w:t xml:space="preserve">The delivering data team applied its own filters before we saw anything. The person</w:t>
      </w:r>
      <w:r>
        <w:t xml:space="preserve"> </w:t>
      </w:r>
      <w:r>
        <w:t xml:space="preserve">table was restricted to one administrative division of the health system and to patients</w:t>
      </w:r>
      <w:r>
        <w:t xml:space="preserve"> </w:t>
      </w:r>
      <w:r>
        <w:t xml:space="preserve">who were current, valid, non-test, non-historical, not recorded as deceased, and aged 18</w:t>
      </w:r>
      <w:r>
        <w:t xml:space="preserve"> </w:t>
      </w:r>
      <w:r>
        <w:t xml:space="preserve">to 110 years at extraction. Eligible source encounters were completed on or before the</w:t>
      </w:r>
      <w:r>
        <w:t xml:space="preserve"> </w:t>
      </w:r>
      <w:r>
        <w:t xml:space="preserve">extraction date, carried at least one associated diagnosis, and had an inpatient,</w:t>
      </w:r>
      <w:r>
        <w:t xml:space="preserve"> </w:t>
      </w:r>
      <w:r>
        <w:t xml:space="preserve">outpatient, observation or emergency patient class.</w:t>
      </w:r>
    </w:p>
    <w:p>
      <w:pPr>
        <w:pStyle w:val="BodyText"/>
      </w:pPr>
      <w:r>
        <w:t xml:space="preserve">Investigators prespecified the diagnosis code lists. Depression comprised ICD-9 codes</w:t>
      </w:r>
      <w:r>
        <w:t xml:space="preserve"> </w:t>
      </w:r>
      <w:r>
        <w:t xml:space="preserve">296.2, 296.3, 300.4 and 311, or ICD-10 codes F32.*, F33.* and F34.1. Bipolar disorder</w:t>
      </w:r>
      <w:r>
        <w:t xml:space="preserve"> </w:t>
      </w:r>
      <w:r>
        <w:t xml:space="preserve">comprised ICD-9 codes 296.0 and 296.4-296.8, or ICD-10 codes F30.* and F31.*.</w:t>
      </w:r>
      <w:r>
        <w:t xml:space="preserve"> </w:t>
      </w:r>
      <w:r>
        <w:t xml:space="preserve">Schizophrenia-spectrum disorders comprised ICD-9 codes 295.* and 298.*, or ICD-10 codes</w:t>
      </w:r>
      <w:r>
        <w:t xml:space="preserve"> </w:t>
      </w:r>
      <w:r>
        <w:t xml:space="preserve">F20.*, F23.*, F25.*, F28.* and F29.*.</w:t>
      </w:r>
    </w:p>
    <w:p>
      <w:pPr>
        <w:pStyle w:val="BodyText"/>
      </w:pPr>
      <w:r>
        <w:t xml:space="preserve">The extract was assembled as a case-enriched sample rather than a census. Every patient</w:t>
      </w:r>
      <w:r>
        <w:t xml:space="preserve"> </w:t>
      </w:r>
      <w:r>
        <w:t xml:space="preserve">with a depression diagnosis on the problem list was retained, and a random sample of</w:t>
      </w:r>
      <w:r>
        <w:t xml:space="preserve"> </w:t>
      </w:r>
      <w:r>
        <w:t xml:space="preserve">unflagged patients was added at an approximate 4:1 unflagged-to-flagged ratio. The</w:t>
      </w:r>
      <w:r>
        <w:t xml:space="preserve"> </w:t>
      </w:r>
      <w:r>
        <w:t xml:space="preserve">remaining tables were then linked to the person table. The delivered extract held 501,718</w:t>
      </w:r>
      <w:r>
        <w:t xml:space="preserve"> </w:t>
      </w:r>
      <w:r>
        <w:t xml:space="preserve">patients: 100,420 (20.0%) with a problem-list depression flag and 401,298 (80.0%)</w:t>
      </w:r>
      <w:r>
        <w:t xml:space="preserve"> </w:t>
      </w:r>
      <w:r>
        <w:t xml:space="preserve">without.</w:t>
      </w:r>
    </w:p>
    <w:p>
      <w:pPr>
        <w:pStyle w:val="BodyText"/>
      </w:pPr>
      <w:r>
        <w:t xml:space="preserve">Sampling used the problem list and eligibility used encounter-level diagnoses, and those</w:t>
      </w:r>
      <w:r>
        <w:t xml:space="preserve"> </w:t>
      </w:r>
      <w:r>
        <w:t xml:space="preserve">two sets are not nested. A depression code entered at a visit is a documented diagnosis</w:t>
      </w:r>
      <w:r>
        <w:t xml:space="preserve"> </w:t>
      </w:r>
      <w:r>
        <w:t xml:space="preserve">whether or not it ever reached the problem list, and in routine care the problem list is</w:t>
      </w:r>
      <w:r>
        <w:t xml:space="preserve"> </w:t>
      </w:r>
      <w:r>
        <w:t xml:space="preserve">frequently not updated. Of the 42,579 analysis-cohort patients, 12,530 (29.4%) qualified</w:t>
      </w:r>
      <w:r>
        <w:t xml:space="preserve"> </w:t>
      </w:r>
      <w:r>
        <w:t xml:space="preserve">through an encounter-level diagnosis while lacking the problem-list flag, and therefore</w:t>
      </w:r>
      <w:r>
        <w:t xml:space="preserve"> </w:t>
      </w:r>
      <w:r>
        <w:t xml:space="preserve">entered through the randomly sampled group.</w:t>
      </w:r>
    </w:p>
    <w:p>
      <w:pPr>
        <w:pStyle w:val="BodyText"/>
      </w:pPr>
      <w:r>
        <w:t xml:space="preserve">Two consequences follow, and only one of them is a limitation. The analysis cohort is a</w:t>
      </w:r>
      <w:r>
        <w:t xml:space="preserve"> </w:t>
      </w:r>
      <w:r>
        <w:t xml:space="preserve">sample rather than an enumeration of the health system’s patients with depression, so</w:t>
      </w:r>
      <w:r>
        <w:t xml:space="preserve"> </w:t>
      </w:r>
      <w:r>
        <w:t xml:space="preserve">cohort treatment-resistant depression (TRD) and subgroup proportions are not population</w:t>
      </w:r>
      <w:r>
        <w:t xml:space="preserve"> </w:t>
      </w:r>
      <w:r>
        <w:t xml:space="preserve">prevalence estimates. The paired</w:t>
      </w:r>
      <w:r>
        <w:t xml:space="preserve"> </w:t>
      </w:r>
      <w:r>
        <w:t xml:space="preserve">comparison between representations remains internally valid, because both were evaluated</w:t>
      </w:r>
      <w:r>
        <w:t xml:space="preserve"> </w:t>
      </w:r>
      <w:r>
        <w:t xml:space="preserve">in the same patients on the same held-out split.</w:t>
      </w:r>
    </w:p>
    <w:p>
      <w:pPr>
        <w:pStyle w:val="BodyText"/>
      </w:pPr>
      <w:r>
        <w:t xml:space="preserve">The setting is a single community health system in Tulsa, Oklahoma, covering inpatient,</w:t>
      </w:r>
      <w:r>
        <w:t xml:space="preserve"> </w:t>
      </w:r>
      <w:r>
        <w:t xml:space="preserve">outpatient, observation and emergency care. Patients enter the cohort through routine</w:t>
      </w:r>
      <w:r>
        <w:t xml:space="preserve"> </w:t>
      </w:r>
      <w:r>
        <w:t xml:space="preserve">antidepressant prescribing across those settings rather than through psychiatric</w:t>
      </w:r>
      <w:r>
        <w:t xml:space="preserve"> </w:t>
      </w:r>
      <w:r>
        <w:t xml:space="preserve">specialty referral. The index prescription may be written in any of them.</w:t>
      </w:r>
    </w:p>
    <w:bookmarkEnd w:id="20"/>
    <w:bookmarkStart w:id="21" w:name="Xf32733a0ca364ba6733e94765a8757233bcfa5a"/>
    <w:p>
      <w:pPr>
        <w:pStyle w:val="Heading1"/>
      </w:pPr>
      <w:r>
        <w:t xml:space="preserve">Supplement M2. Eligibility cascade, index selection, and temporal design</w:t>
      </w:r>
    </w:p>
    <w:p>
      <w:pPr>
        <w:pStyle w:val="FirstParagraph"/>
      </w:pPr>
      <w:r>
        <w:t xml:space="preserve">Eligibility was applied hierarchically to the full delivered extract. A patient needed</w:t>
      </w:r>
      <w:r>
        <w:t xml:space="preserve"> </w:t>
      </w:r>
      <w:r>
        <w:t xml:space="preserve">all six of:</w:t>
      </w:r>
    </w:p>
    <w:p>
      <w:pPr>
        <w:pStyle w:val="Compact"/>
        <w:numPr>
          <w:ilvl w:val="0"/>
          <w:numId w:val="1001"/>
        </w:numPr>
      </w:pPr>
      <w:r>
        <w:t xml:space="preserve">a qualifying major depressive disorder (MDD) diagnosis;</w:t>
      </w:r>
    </w:p>
    <w:p>
      <w:pPr>
        <w:pStyle w:val="Compact"/>
        <w:numPr>
          <w:ilvl w:val="0"/>
          <w:numId w:val="1001"/>
        </w:numPr>
      </w:pPr>
      <w:r>
        <w:t xml:space="preserve">no bipolar-disorder and no schizophrenia-spectrum diagnosis, to isolate unipolar</w:t>
      </w:r>
      <w:r>
        <w:t xml:space="preserve"> </w:t>
      </w:r>
      <w:r>
        <w:t xml:space="preserve">depression;</w:t>
      </w:r>
    </w:p>
    <w:p>
      <w:pPr>
        <w:pStyle w:val="Compact"/>
        <w:numPr>
          <w:ilvl w:val="0"/>
          <w:numId w:val="1001"/>
        </w:numPr>
      </w:pPr>
      <w:r>
        <w:t xml:space="preserve">an eligible antidepressant index prescription;</w:t>
      </w:r>
    </w:p>
    <w:p>
      <w:pPr>
        <w:pStyle w:val="Compact"/>
        <w:numPr>
          <w:ilvl w:val="0"/>
          <w:numId w:val="1001"/>
        </w:numPr>
      </w:pPr>
      <w:r>
        <w:t xml:space="preserve">an MDD diagnosis recorded on or before the index date;</w:t>
      </w:r>
    </w:p>
    <w:p>
      <w:pPr>
        <w:pStyle w:val="Compact"/>
        <w:numPr>
          <w:ilvl w:val="0"/>
          <w:numId w:val="1001"/>
        </w:numPr>
      </w:pPr>
      <w:r>
        <w:t xml:space="preserve">at least 730 days of pre-index history;</w:t>
      </w:r>
    </w:p>
    <w:p>
      <w:pPr>
        <w:pStyle w:val="Compact"/>
        <w:numPr>
          <w:ilvl w:val="0"/>
          <w:numId w:val="1001"/>
        </w:numPr>
      </w:pPr>
      <w:r>
        <w:t xml:space="preserve">at least 365 days of post-index follow-up.</w:t>
      </w:r>
    </w:p>
    <w:p>
      <w:pPr>
        <w:pStyle w:val="FirstParagraph"/>
      </w:pPr>
      <w:r>
        <w:t xml:space="preserve">Patients failing a chronological or</w:t>
      </w:r>
      <w:r>
        <w:t xml:space="preserve"> </w:t>
      </w:r>
      <w:r>
        <w:t xml:space="preserve">observation prerequisite were assigned an explicit rejection reason, so the attrition</w:t>
      </w:r>
      <w:r>
        <w:t xml:space="preserve"> </w:t>
      </w:r>
      <w:r>
        <w:t xml:space="preserve">accounting is complete.</w:t>
      </w:r>
    </w:p>
    <w:p>
      <w:pPr>
        <w:pStyle w:val="BodyText"/>
      </w:pPr>
      <w:r>
        <w:rPr>
          <w:b/>
          <w:bCs/>
          <w:i/>
          <w:iCs/>
        </w:rPr>
        <w:t xml:space="preserve">Table M1.</w:t>
      </w:r>
      <w:r>
        <w:rPr>
          <w:i/>
          <w:iCs/>
        </w:rPr>
        <w:t xml:space="preserve"> </w:t>
      </w:r>
      <w:r>
        <w:rPr>
          <w:i/>
          <w:iCs/>
        </w:rPr>
        <w:t xml:space="preserve">Participant flow through the hierarchical eligibility filters. Each row</w:t>
      </w:r>
      <w:r>
        <w:rPr>
          <w:i/>
          <w:iCs/>
        </w:rPr>
        <w:t xml:space="preserve"> </w:t>
      </w:r>
      <w:r>
        <w:rPr>
          <w:i/>
          <w:iCs/>
        </w:rPr>
        <w:t xml:space="preserve">applies one additional filter to the survivors of the row above. The first row is the</w:t>
      </w:r>
      <w:r>
        <w:rPr>
          <w:i/>
          <w:iCs/>
        </w:rPr>
        <w:t xml:space="preserve"> </w:t>
      </w:r>
      <w:r>
        <w:rPr>
          <w:i/>
          <w:iCs/>
        </w:rPr>
        <w:t xml:space="preserve">delivered extract, a case-enriched sample by design (Supplement M1).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Remaining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Rejected at stage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Delivered extract (4:1 case-enriched)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501,718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MDD-diagnosed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144,110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357,608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bipolar AND not schizophrenia-spectrum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124,188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19,922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 antidepressant index prescription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107,636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16,552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 MDD before 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103,458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≥2 years pre-index history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49,243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≥1 year post-index follow-up (final cohort)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42,579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11,636</w:t>
            </w:r>
          </w:p>
        </w:tc>
      </w:tr>
    </w:tbl>
    <w:p>
      <w:pPr>
        <w:pStyle w:val="BodyText"/>
      </w:pPr>
      <w:r>
        <w:t xml:space="preserve">Upstream data preparation assembled, for each patient, every antidepressant order</w:t>
      </w:r>
      <w:r>
        <w:t xml:space="preserve"> </w:t>
      </w:r>
      <w:r>
        <w:t xml:space="preserve">beginning on or after the date of the first documented depression diagnosis. The earliest</w:t>
      </w:r>
      <w:r>
        <w:t xml:space="preserve"> </w:t>
      </w:r>
      <w:r>
        <w:t xml:space="preserve">start date in that set defined the index date, one per patient. Among candidate index</w:t>
      </w:r>
      <w:r>
        <w:t xml:space="preserve"> </w:t>
      </w:r>
      <w:r>
        <w:t xml:space="preserve">orders, 57.9% begin on the same date as the first recorded depression diagnosis.</w:t>
      </w:r>
    </w:p>
    <w:p>
      <w:pPr>
        <w:pStyle w:val="BodyText"/>
      </w:pPr>
      <w:r>
        <w:t xml:space="preserve">No post-index property was used to qualify the index exposure. Dose adequacy, exposure</w:t>
      </w:r>
      <w:r>
        <w:t xml:space="preserve"> </w:t>
      </w:r>
      <w:r>
        <w:t xml:space="preserve">duration, subsequent response and treatment changes were all excluded from that decision,</w:t>
      </w:r>
      <w:r>
        <w:t xml:space="preserve"> </w:t>
      </w:r>
      <w:r>
        <w:t xml:space="preserve">so the prediction point is the moment the prescription is written. Post-index data</w:t>
      </w:r>
      <w:r>
        <w:t xml:space="preserve"> </w:t>
      </w:r>
      <w:r>
        <w:t xml:space="preserve">entered in only two places: the requirement for at least 365 days of follow-up, and</w:t>
      </w:r>
      <w:r>
        <w:t xml:space="preserve"> </w:t>
      </w:r>
      <w:r>
        <w:t xml:space="preserve">outcome ascertainment during those days. Predictors used only information inside the 730</w:t>
      </w:r>
      <w:r>
        <w:t xml:space="preserve"> </w:t>
      </w:r>
      <w:r>
        <w:t xml:space="preserve">days ending at the index date. Recorded history extends further back for many patients,</w:t>
      </w:r>
      <w:r>
        <w:t xml:space="preserve"> </w:t>
      </w:r>
      <w:r>
        <w:t xml:space="preserve">at a median of 1,792 days, and clinical content outside the fixed window was never read.</w:t>
      </w:r>
      <w:r>
        <w:t xml:space="preserve"> </w:t>
      </w:r>
      <w:r>
        <w:t xml:space="preserve">Total recorded history length was itself retained as a predictor.</w:t>
      </w:r>
    </w:p>
    <w:p>
      <w:pPr>
        <w:pStyle w:val="BodyText"/>
      </w:pPr>
      <w:r>
        <w:t xml:space="preserve">Antidepressant exposure before the index date did not exclude a patient, and the</w:t>
      </w:r>
      <w:r>
        <w:t xml:space="preserve"> </w:t>
      </w:r>
      <w:r>
        <w:t xml:space="preserve">resulting numbers are worth stating plainly. The index is tied to the first documented</w:t>
      </w:r>
      <w:r>
        <w:t xml:space="preserve"> </w:t>
      </w:r>
      <w:r>
        <w:t xml:space="preserve">depression diagnosis rather than to the first antidepressant exposure. So 24.0% of the</w:t>
      </w:r>
      <w:r>
        <w:t xml:space="preserve"> </w:t>
      </w:r>
      <w:r>
        <w:t xml:space="preserve">cohort had some recorded pre-index antidepressant exposure, and 14.7% had at least one</w:t>
      </w:r>
      <w:r>
        <w:t xml:space="preserve"> </w:t>
      </w:r>
      <w:r>
        <w:t xml:space="preserve">pre-index course meeting the 42-day adequate-trial threshold. The index is therefore</w:t>
      </w:r>
      <w:r>
        <w:t xml:space="preserve"> </w:t>
      </w:r>
      <w:r>
        <w:t xml:space="preserve">best described as the first antidepressant prescription after a documented depression</w:t>
      </w:r>
      <w:r>
        <w:t xml:space="preserve"> </w:t>
      </w:r>
      <w:r>
        <w:t xml:space="preserve">diagnosis. It is not the first antidepressant treatment and not the first adequate</w:t>
      </w:r>
      <w:r>
        <w:t xml:space="preserve"> </w:t>
      </w:r>
      <w:r>
        <w:t xml:space="preserve">trial.</w:t>
      </w:r>
    </w:p>
    <w:bookmarkEnd w:id="21"/>
    <w:bookmarkStart w:id="22" w:name="Xb5c2e9b68e7637b9712a461f0cad281c48737aa"/>
    <w:p>
      <w:pPr>
        <w:pStyle w:val="Heading1"/>
      </w:pPr>
      <w:r>
        <w:t xml:space="preserve">Supplement M3. Outcome construction and inferential boundary</w:t>
      </w:r>
    </w:p>
    <w:p>
      <w:pPr>
        <w:pStyle w:val="FirstParagraph"/>
      </w:pPr>
      <w:r>
        <w:t xml:space="preserve">The binary outcome was generated in the upstream R data-preparation pipeline,</w:t>
      </w:r>
      <w:r>
        <w:t xml:space="preserve"> </w:t>
      </w:r>
      <w:r>
        <w:t xml:space="preserve">independently of the predictors, and supplied to the modelling workflow as a fixed</w:t>
      </w:r>
      <w:r>
        <w:t xml:space="preserve"> </w:t>
      </w:r>
      <w:r>
        <w:t xml:space="preserve">label. TRD was assigned when a patient with MDD received at least three distinct</w:t>
      </w:r>
      <w:r>
        <w:t xml:space="preserve"> </w:t>
      </w:r>
      <w:r>
        <w:t xml:space="preserve">antidepressant treatments within 365 days of the index date, counting the index agent as</w:t>
      </w:r>
      <w:r>
        <w:t xml:space="preserve"> </w:t>
      </w:r>
      <w:r>
        <w:t xml:space="preserve">the first. Patients with fewer than three were classified TRD-negative.</w:t>
      </w:r>
    </w:p>
    <w:p>
      <w:pPr>
        <w:pStyle w:val="BodyText"/>
      </w:pPr>
      <w:r>
        <w:t xml:space="preserve">A treatment is a distinct antidepressant agent rather than an order or a prescribing</w:t>
      </w:r>
      <w:r>
        <w:t xml:space="preserve"> </w:t>
      </w:r>
      <w:r>
        <w:t xml:space="preserve">event. Adding a second agent while the current antidepressant continues is augmentation</w:t>
      </w:r>
      <w:r>
        <w:t xml:space="preserve"> </w:t>
      </w:r>
      <w:r>
        <w:t xml:space="preserve">and does not advance the count. Restarting a previously used agent does not advance it</w:t>
      </w:r>
      <w:r>
        <w:t xml:space="preserve"> </w:t>
      </w:r>
      <w:r>
        <w:t xml:space="preserve">either. Augmentation is available as a pre-index predictor wherever its definition is</w:t>
      </w:r>
      <w:r>
        <w:t xml:space="preserve"> </w:t>
      </w:r>
      <w:r>
        <w:t xml:space="preserve">met.</w:t>
      </w:r>
    </w:p>
    <w:p>
      <w:pPr>
        <w:pStyle w:val="BodyText"/>
      </w:pPr>
      <w:r>
        <w:t xml:space="preserve">The 365-day follow-up requirement guarantees that every patient has the observation</w:t>
      </w:r>
      <w:r>
        <w:t xml:space="preserve"> </w:t>
      </w:r>
      <w:r>
        <w:t xml:space="preserve">window needed to determine the label. A negative label therefore reflects an absence of</w:t>
      </w:r>
      <w:r>
        <w:t xml:space="preserve"> </w:t>
      </w:r>
      <w:r>
        <w:t xml:space="preserve">further antidepressant treatments rather than an absence of observation. It does not</w:t>
      </w:r>
      <w:r>
        <w:t xml:space="preserve"> </w:t>
      </w:r>
      <w:r>
        <w:t xml:space="preserve">guarantee that care delivered outside the health system was captured.</w:t>
      </w:r>
    </w:p>
    <w:p>
      <w:pPr>
        <w:pStyle w:val="BodyText"/>
      </w:pPr>
      <w:r>
        <w:t xml:space="preserve">The label approximates the consensus characterisation of TRD as inadequate response to at</w:t>
      </w:r>
      <w:r>
        <w:t xml:space="preserve"> </w:t>
      </w:r>
      <w:r>
        <w:t xml:space="preserve">least two antidepressant trials of adequate dose and duration [2,3]. It does not</w:t>
      </w:r>
      <w:r>
        <w:t xml:space="preserve"> </w:t>
      </w:r>
      <w:r>
        <w:t xml:space="preserve">establish it. Non-response is inferred from switching rather than measured, because</w:t>
      </w:r>
      <w:r>
        <w:t xml:space="preserve"> </w:t>
      </w:r>
      <w:r>
        <w:t xml:space="preserve">standardised symptom severity is not systematically recorded in this extract, and dose</w:t>
      </w:r>
      <w:r>
        <w:t xml:space="preserve"> </w:t>
      </w:r>
      <w:r>
        <w:t xml:space="preserve">and duration adequacy were not verified for the counted post-index treatments. A change</w:t>
      </w:r>
      <w:r>
        <w:t xml:space="preserve"> </w:t>
      </w:r>
      <w:r>
        <w:t xml:space="preserve">attributable to intolerance, adverse effects, cost, formulary restriction, fragmented</w:t>
      </w:r>
      <w:r>
        <w:t xml:space="preserve"> </w:t>
      </w:r>
      <w:r>
        <w:t xml:space="preserve">care, patient preference or prescriber practice is counted exactly as a change</w:t>
      </w:r>
      <w:r>
        <w:t xml:space="preserve"> </w:t>
      </w:r>
      <w:r>
        <w:t xml:space="preserve">attributable to non-response.</w:t>
      </w:r>
    </w:p>
    <w:p>
      <w:pPr>
        <w:pStyle w:val="BodyText"/>
      </w:pPr>
      <w:r>
        <w:t xml:space="preserve">Switching also depends on continuity, access, insurance and clinical practice, all of</w:t>
      </w:r>
      <w:r>
        <w:t xml:space="preserve"> </w:t>
      </w:r>
      <w:r>
        <w:t xml:space="preserve">which may differ across demographic groups [18,19]. The target can therefore encode</w:t>
      </w:r>
      <w:r>
        <w:t xml:space="preserve"> </w:t>
      </w:r>
      <w:r>
        <w:t xml:space="preserve">health-care process and inequity alongside pharmacologic non-response. The label was</w:t>
      </w:r>
      <w:r>
        <w:t xml:space="preserve"> </w:t>
      </w:r>
      <w:r>
        <w:t xml:space="preserve">never validated against chart review or a symptom-severity criterion. Future validation</w:t>
      </w:r>
      <w:r>
        <w:t xml:space="preserve"> </w:t>
      </w:r>
      <w:r>
        <w:t xml:space="preserve">should compare it with adjudicated treatment histories and symptom trajectories, and</w:t>
      </w:r>
      <w:r>
        <w:t xml:space="preserve"> </w:t>
      </w:r>
      <w:r>
        <w:t xml:space="preserve">should test a higher-specificity outcome requiring documented adequate courses.</w:t>
      </w:r>
    </w:p>
    <w:bookmarkEnd w:id="22"/>
    <w:bookmarkStart w:id="23" w:name="Xd4df35d3152818520e5b9b8fa2e91a5150aad27"/>
    <w:p>
      <w:pPr>
        <w:pStyle w:val="Heading1"/>
      </w:pPr>
      <w:r>
        <w:t xml:space="preserve">Supplement M4. Predictor selection and the typed feature representation</w:t>
      </w:r>
    </w:p>
    <w:p>
      <w:pPr>
        <w:pStyle w:val="FirstParagraph"/>
      </w:pPr>
      <w:r>
        <w:t xml:space="preserve">The candidate predictor set was specified before model fitting and before any</w:t>
      </w:r>
      <w:r>
        <w:t xml:space="preserve"> </w:t>
      </w:r>
      <w:r>
        <w:t xml:space="preserve">predictor-outcome association was examined. Selection was manual, on clinical and</w:t>
      </w:r>
      <w:r>
        <w:t xml:space="preserve"> </w:t>
      </w:r>
      <w:r>
        <w:t xml:space="preserve">literature grounds, as in the treatment-resistance model of Perlis [4], rather than by</w:t>
      </w:r>
      <w:r>
        <w:t xml:space="preserve"> </w:t>
      </w:r>
      <w:r>
        <w:t xml:space="preserve">univariate screening or an automated procedure. No variable was retained or removed</w:t>
      </w:r>
      <w:r>
        <w:t xml:space="preserve"> </w:t>
      </w:r>
      <w:r>
        <w:t xml:space="preserve">because of its observed association with TRD, and no automated selection step ran at any</w:t>
      </w:r>
      <w:r>
        <w:t xml:space="preserve"> </w:t>
      </w:r>
      <w:r>
        <w:t xml:space="preserve">stage.</w:t>
      </w:r>
    </w:p>
    <w:p>
      <w:pPr>
        <w:pStyle w:val="BodyText"/>
      </w:pPr>
      <w:r>
        <w:t xml:space="preserve">The selected domains follow prior treatment-resistance and antidepressant-response</w:t>
      </w:r>
      <w:r>
        <w:t xml:space="preserve"> </w:t>
      </w:r>
      <w:r>
        <w:t xml:space="preserve">research [4,5]:</w:t>
      </w:r>
    </w:p>
    <w:p>
      <w:pPr>
        <w:pStyle w:val="Compact"/>
        <w:numPr>
          <w:ilvl w:val="0"/>
          <w:numId w:val="1002"/>
        </w:numPr>
      </w:pPr>
      <w:r>
        <w:t xml:space="preserve">depression severity and recurrence;</w:t>
      </w:r>
    </w:p>
    <w:p>
      <w:pPr>
        <w:pStyle w:val="Compact"/>
        <w:numPr>
          <w:ilvl w:val="0"/>
          <w:numId w:val="1002"/>
        </w:numPr>
      </w:pPr>
      <w:r>
        <w:t xml:space="preserve">psychiatric and substance-use comorbidity;</w:t>
      </w:r>
    </w:p>
    <w:p>
      <w:pPr>
        <w:pStyle w:val="Compact"/>
        <w:numPr>
          <w:ilvl w:val="0"/>
          <w:numId w:val="1002"/>
        </w:numPr>
      </w:pPr>
      <w:r>
        <w:t xml:space="preserve">medical comorbidity;</w:t>
      </w:r>
    </w:p>
    <w:p>
      <w:pPr>
        <w:pStyle w:val="Compact"/>
        <w:numPr>
          <w:ilvl w:val="0"/>
          <w:numId w:val="1002"/>
        </w:numPr>
      </w:pPr>
      <w:r>
        <w:t xml:space="preserve">prior antidepressant exposure and medication burden;</w:t>
      </w:r>
    </w:p>
    <w:p>
      <w:pPr>
        <w:pStyle w:val="Compact"/>
        <w:numPr>
          <w:ilvl w:val="0"/>
          <w:numId w:val="1002"/>
        </w:numPr>
      </w:pPr>
      <w:r>
        <w:t xml:space="preserve">health-care utilisation;</w:t>
      </w:r>
    </w:p>
    <w:p>
      <w:pPr>
        <w:pStyle w:val="Compact"/>
        <w:numPr>
          <w:ilvl w:val="0"/>
          <w:numId w:val="1002"/>
        </w:numPr>
      </w:pPr>
      <w:r>
        <w:t xml:space="preserve">sociodemographic characteristics.</w:t>
      </w:r>
    </w:p>
    <w:p>
      <w:pPr>
        <w:pStyle w:val="FirstParagraph"/>
      </w:pPr>
      <w:r>
        <w:t xml:space="preserve">One difference from</w:t>
      </w:r>
      <w:r>
        <w:t xml:space="preserve"> </w:t>
      </w:r>
      <w:r>
        <w:t xml:space="preserve">clinical-trial studies is structural rather than incidental. Those studies use scheduled</w:t>
      </w:r>
      <w:r>
        <w:t xml:space="preserve"> </w:t>
      </w:r>
      <w:r>
        <w:t xml:space="preserve">symptom scales and structured interviews, and this one is restricted to structured fields</w:t>
      </w:r>
      <w:r>
        <w:t xml:space="preserve"> </w:t>
      </w:r>
      <w:r>
        <w:t xml:space="preserve">recorded in routine care, so depression severity enters as diagnostic coding rather than</w:t>
      </w:r>
      <w:r>
        <w:t xml:space="preserve"> </w:t>
      </w:r>
      <w:r>
        <w:t xml:space="preserve">as a rating-scale score. Prior EHR prediction studies informed which domains were</w:t>
      </w:r>
      <w:r>
        <w:t xml:space="preserve"> </w:t>
      </w:r>
      <w:r>
        <w:t xml:space="preserve">feasible at all [6,7].</w:t>
      </w:r>
    </w:p>
    <w:p>
      <w:pPr>
        <w:pStyle w:val="BodyText"/>
      </w:pPr>
      <w:r>
        <w:t xml:space="preserve">Two retention decisions are worth stating because they look like oversights and are not.</w:t>
      </w:r>
      <w:r>
        <w:t xml:space="preserve"> </w:t>
      </w:r>
      <w:r>
        <w:t xml:space="preserve">Prescribing-constraint flags were kept because they describe whether escalation options</w:t>
      </w:r>
      <w:r>
        <w:t xml:space="preserve"> </w:t>
      </w:r>
      <w:r>
        <w:t xml:space="preserve">may be limited, which is the clinical question the model sits next to. Sociodemographic</w:t>
      </w:r>
      <w:r>
        <w:t xml:space="preserve"> </w:t>
      </w:r>
      <w:r>
        <w:t xml:space="preserve">and social-determinant fields were kept so that their direct contribution could be tested</w:t>
      </w:r>
      <w:r>
        <w:t xml:space="preserve"> </w:t>
      </w:r>
      <w:r>
        <w:t xml:space="preserve">by the semantic-feature ablation, rather than being rendered unobservable by design. The</w:t>
      </w:r>
      <w:r>
        <w:t xml:space="preserve"> </w:t>
      </w:r>
      <w:r>
        <w:t xml:space="preserve">only prespecified fields later removed were body mass index and systolic and diastolic</w:t>
      </w:r>
      <w:r>
        <w:t xml:space="preserve"> </w:t>
      </w:r>
      <w:r>
        <w:t xml:space="preserve">blood pressure, for the missingness reasons in Supplement M6 and not for any association</w:t>
      </w:r>
      <w:r>
        <w:t xml:space="preserve"> </w:t>
      </w:r>
      <w:r>
        <w:t xml:space="preserve">with the outcome.</w:t>
      </w:r>
    </w:p>
    <w:p>
      <w:pPr>
        <w:pStyle w:val="BodyText"/>
      </w:pPr>
      <w:r>
        <w:t xml:space="preserve">The feature representation assigns an explicit type to every field. Quantitative counts</w:t>
      </w:r>
      <w:r>
        <w:t xml:space="preserve"> </w:t>
      </w:r>
      <w:r>
        <w:t xml:space="preserve">and durations are continuous, covering encounter count, pre-index history length, age,</w:t>
      </w:r>
      <w:r>
        <w:t xml:space="preserve"> </w:t>
      </w:r>
      <w:r>
        <w:t xml:space="preserve">per-agent adequate-trial counts and medication burden. Single binary flags and</w:t>
      </w:r>
      <w:r>
        <w:t xml:space="preserve"> </w:t>
      </w:r>
      <w:r>
        <w:t xml:space="preserve">multi-label indicator sets are boolean, covering psychiatric and medical comorbidity,</w:t>
      </w:r>
      <w:r>
        <w:t xml:space="preserve"> </w:t>
      </w:r>
      <w:r>
        <w:t xml:space="preserve">prescribing constraints, substance-use categories and social-determinant categories.</w:t>
      </w:r>
      <w:r>
        <w:t xml:space="preserve"> </w:t>
      </w:r>
      <w:r>
        <w:t xml:space="preserve">Single-valued nominal variables are categorical, covering sex, preferred language,</w:t>
      </w:r>
      <w:r>
        <w:t xml:space="preserve"> </w:t>
      </w:r>
      <w:r>
        <w:t xml:space="preserve">marital status, religion, smoking status, race and ethnicity, MDD recurrence and coded</w:t>
      </w:r>
      <w:r>
        <w:t xml:space="preserve"> </w:t>
      </w:r>
      <w:r>
        <w:t xml:space="preserve">MDD severity. An adequate prior</w:t>
      </w:r>
      <w:r>
        <w:t xml:space="preserve"> </w:t>
      </w:r>
      <w:r>
        <w:t xml:space="preserve">antidepressant trial requires at least 42 days of continuous exposure to an agent. The</w:t>
      </w:r>
      <w:r>
        <w:t xml:space="preserve"> </w:t>
      </w:r>
      <w:r>
        <w:t xml:space="preserve">complete inventory, with each field’s type and encoded form, is Multimedia Appendix 1.</w:t>
      </w:r>
    </w:p>
    <w:bookmarkEnd w:id="23"/>
    <w:bookmarkStart w:id="24" w:name="X551fce4ea1521be97875cae82a341d09427ae21"/>
    <w:p>
      <w:pPr>
        <w:pStyle w:val="Heading1"/>
      </w:pPr>
      <w:r>
        <w:t xml:space="preserve">Supplement M5. Deterministic narrative and embedded representation</w:t>
      </w:r>
    </w:p>
    <w:p>
      <w:pPr>
        <w:pStyle w:val="FirstParagraph"/>
      </w:pPr>
      <w:r>
        <w:t xml:space="preserve">The same pre-index record was rendered deterministically into a human-readable Markdown</w:t>
      </w:r>
      <w:r>
        <w:t xml:space="preserve"> </w:t>
      </w:r>
      <w:r>
        <w:t xml:space="preserve">narrative. Rendering is rule-driven and reproducible, and no generative language model</w:t>
      </w:r>
      <w:r>
        <w:t xml:space="preserve"> </w:t>
      </w:r>
      <w:r>
        <w:t xml:space="preserve">participates in construction. That choice prioritises traceability over fluency, because</w:t>
      </w:r>
      <w:r>
        <w:t xml:space="preserve"> </w:t>
      </w:r>
      <w:r>
        <w:t xml:space="preserve">an unsupported generated statement would silently alter the patient’s model input [23].</w:t>
      </w:r>
      <w:r>
        <w:t xml:space="preserve"> </w:t>
      </w:r>
      <w:r>
        <w:t xml:space="preserve">Example narratives are reproduced in Supplement S6.</w:t>
      </w:r>
    </w:p>
    <w:p>
      <w:pPr>
        <w:pStyle w:val="BodyText"/>
      </w:pPr>
      <w:r>
        <w:t xml:space="preserve">Each narrative was mapped to a fixed-length vector by a pretrained sentence-transformer</w:t>
      </w:r>
      <w:r>
        <w:t xml:space="preserve"> </w:t>
      </w:r>
      <w:r>
        <w:t xml:space="preserve">encoder [11]. The four independently evaluated encoders were</w:t>
      </w:r>
      <w:r>
        <w:t xml:space="preserve"> </w:t>
      </w:r>
      <w:r>
        <w:rPr>
          <w:rStyle w:val="VerbatimChar"/>
        </w:rPr>
        <w:t xml:space="preserve">bge-small-en-v1.5</w:t>
      </w:r>
      <w:r>
        <w:t xml:space="preserve"> </w:t>
      </w:r>
      <w:r>
        <w:t xml:space="preserve">[12],</w:t>
      </w:r>
      <w:r>
        <w:t xml:space="preserve"> </w:t>
      </w:r>
      <w:r>
        <w:rPr>
          <w:rStyle w:val="VerbatimChar"/>
        </w:rPr>
        <w:t xml:space="preserve">bge-en-icl</w:t>
      </w:r>
      <w:r>
        <w:t xml:space="preserve"> </w:t>
      </w:r>
      <w:r>
        <w:t xml:space="preserve">[13],</w:t>
      </w:r>
      <w:r>
        <w:t xml:space="preserve"> </w:t>
      </w:r>
      <w:r>
        <w:rPr>
          <w:rStyle w:val="VerbatimChar"/>
        </w:rPr>
        <w:t xml:space="preserve">Qwen3-Embedding-4B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Qwen3-Embedding-8B</w:t>
      </w:r>
      <w:r>
        <w:t xml:space="preserve"> </w:t>
      </w:r>
      <w:r>
        <w:t xml:space="preserve">[14]. This</w:t>
      </w:r>
      <w:r>
        <w:t xml:space="preserve"> </w:t>
      </w:r>
      <w:r>
        <w:t xml:space="preserve">serialisation-and-encoding strategy follows evidence that general-purpose language-model</w:t>
      </w:r>
      <w:r>
        <w:t xml:space="preserve"> </w:t>
      </w:r>
      <w:r>
        <w:t xml:space="preserve">embeddings of serialised EHR records perform competitively with purpose-built EHR</w:t>
      </w:r>
      <w:r>
        <w:t xml:space="preserve"> </w:t>
      </w:r>
      <w:r>
        <w:t xml:space="preserve">foundation models across prediction tasks [9].</w:t>
      </w:r>
    </w:p>
    <w:p>
      <w:pPr>
        <w:pStyle w:val="BodyText"/>
      </w:pPr>
      <w:r>
        <w:t xml:space="preserve">The two representations use the same timeline-sliced source record and not an identical</w:t>
      </w:r>
      <w:r>
        <w:t xml:space="preserve"> </w:t>
      </w:r>
      <w:r>
        <w:t xml:space="preserve">set of rendered fields. Supplement S11 gives, for every source field, its feature</w:t>
      </w:r>
      <w:r>
        <w:t xml:space="preserve"> </w:t>
      </w:r>
      <w:r>
        <w:t xml:space="preserve">encoding, its narrative rendering, its missing-value rule and its temporal availability.</w:t>
      </w:r>
      <w:r>
        <w:t xml:space="preserve"> </w:t>
      </w:r>
      <w:r>
        <w:t xml:space="preserve">Because the inventories differ, the comparison is between two complete representation</w:t>
      </w:r>
      <w:r>
        <w:t xml:space="preserve"> </w:t>
      </w:r>
      <w:r>
        <w:t xml:space="preserve">pipelines. It is not a controlled comparison of numeric against language encoding of</w:t>
      </w:r>
      <w:r>
        <w:t xml:space="preserve"> </w:t>
      </w:r>
      <w:r>
        <w:t xml:space="preserve">identical information.</w:t>
      </w:r>
    </w:p>
    <w:bookmarkEnd w:id="24"/>
    <w:bookmarkStart w:id="25" w:name="supplement-m6.-missing-data-handling"/>
    <w:p>
      <w:pPr>
        <w:pStyle w:val="Heading1"/>
      </w:pPr>
      <w:r>
        <w:t xml:space="preserve">Supplement M6. Missing-data handling</w:t>
      </w:r>
    </w:p>
    <w:p>
      <w:pPr>
        <w:pStyle w:val="FirstParagraph"/>
      </w:pPr>
      <w:r>
        <w:t xml:space="preserve">No statistical imputation was performed. Mean body mass index and mean systolic and</w:t>
      </w:r>
      <w:r>
        <w:t xml:space="preserve"> </w:t>
      </w:r>
      <w:r>
        <w:t xml:space="preserve">diastolic blood pressure were present in the intermediate feature file and removed from</w:t>
      </w:r>
      <w:r>
        <w:t xml:space="preserve"> </w:t>
      </w:r>
      <w:r>
        <w:t xml:space="preserve">the feature matrix at load time. Each value is the within-patient mean across that</w:t>
      </w:r>
      <w:r>
        <w:t xml:space="preserve"> </w:t>
      </w:r>
      <w:r>
        <w:t xml:space="preserve">patient’s own pre-index encounters rather than a mean across patients.</w:t>
      </w:r>
    </w:p>
    <w:p>
      <w:pPr>
        <w:pStyle w:val="BodyText"/>
      </w:pPr>
      <w:r>
        <w:t xml:space="preserve">The missingness was both substantial and outcome-associated. Mean body mass index was</w:t>
      </w:r>
      <w:r>
        <w:t xml:space="preserve"> </w:t>
      </w:r>
      <w:r>
        <w:t xml:space="preserve">missing for 22.1% of patients and at least one vital sign was absent for 21.0%. Body mass</w:t>
      </w:r>
      <w:r>
        <w:t xml:space="preserve"> </w:t>
      </w:r>
      <w:r>
        <w:t xml:space="preserve">index was missing for 28.8% of TRD-positive against 20.6% of TRD-negative patients, a gap</w:t>
      </w:r>
      <w:r>
        <w:t xml:space="preserve"> </w:t>
      </w:r>
      <w:r>
        <w:t xml:space="preserve">of roughly 8 percentage points.</w:t>
      </w:r>
    </w:p>
    <w:p>
      <w:pPr>
        <w:pStyle w:val="BodyText"/>
      </w:pPr>
      <w:r>
        <w:t xml:space="preserve">That association rules out missing completely at random. It does not establish missing</w:t>
      </w:r>
      <w:r>
        <w:t xml:space="preserve"> </w:t>
      </w:r>
      <w:r>
        <w:t xml:space="preserve">not at random, which cannot be identified from observed data, because missingness may</w:t>
      </w:r>
      <w:r>
        <w:t xml:space="preserve"> </w:t>
      </w:r>
      <w:r>
        <w:t xml:space="preserve">depend on health-system contact that the recorded predictors capture only partly. The</w:t>
      </w:r>
      <w:r>
        <w:t xml:space="preserve"> </w:t>
      </w:r>
      <w:r>
        <w:t xml:space="preserve">variables were removed because no defensible imputation model was available from the</w:t>
      </w:r>
      <w:r>
        <w:t xml:space="preserve"> </w:t>
      </w:r>
      <w:r>
        <w:t xml:space="preserve">observed predictors alone. No missingness indicators were created for the continuous</w:t>
      </w:r>
      <w:r>
        <w:t xml:space="preserve"> </w:t>
      </w:r>
      <w:r>
        <w:t xml:space="preserve">block and no NaN value reached an estimator. A matched re-run retaining these variables</w:t>
      </w:r>
      <w:r>
        <w:t xml:space="preserve"> </w:t>
      </w:r>
      <w:r>
        <w:t xml:space="preserve">with explicit missingness indicators and within-fold median imputation leaves the</w:t>
      </w:r>
      <w:r>
        <w:t xml:space="preserve"> </w:t>
      </w:r>
      <w:r>
        <w:t xml:space="preserve">head-to-head result a null, and is available from the corresponding author.</w:t>
      </w:r>
    </w:p>
    <w:p>
      <w:pPr>
        <w:pStyle w:val="BodyText"/>
      </w:pPr>
      <w:r>
        <w:t xml:space="preserve">Missing categorical values were handled differently and were kept. The feature one-hot</w:t>
      </w:r>
      <w:r>
        <w:t xml:space="preserve"> </w:t>
      </w:r>
      <w:r>
        <w:t xml:space="preserve">encoder gave them a separate level and the narrative rendered the literal token</w:t>
      </w:r>
      <w:r>
        <w:t xml:space="preserve"> </w:t>
      </w:r>
      <w:r>
        <w:t xml:space="preserve">“Missing”</w:t>
      </w:r>
      <w:r>
        <w:t xml:space="preserve">. Marital and smoking status are nearly complete, under 0.5% missing. Religion</w:t>
      </w:r>
      <w:r>
        <w:t xml:space="preserve"> </w:t>
      </w:r>
      <w:r>
        <w:t xml:space="preserve">is missing for 29.4% overall and shows a monotone age gradient, from 43.8% at ages 18-29</w:t>
      </w:r>
      <w:r>
        <w:t xml:space="preserve"> </w:t>
      </w:r>
      <w:r>
        <w:t xml:space="preserve">to 17.5% at ages 65 or older, so the missing-category level may itself carry age-related</w:t>
      </w:r>
      <w:r>
        <w:t xml:space="preserve"> </w:t>
      </w:r>
      <w:r>
        <w:t xml:space="preserve">information. Religion was retained with that indicator level. A matched re-run removed the field from</w:t>
      </w:r>
      <w:r>
        <w:t xml:space="preserve"> </w:t>
      </w:r>
      <w:r>
        <w:t xml:space="preserve">both representations, taking the column out of the feature matrix and the field out of</w:t>
      </w:r>
      <w:r>
        <w:t xml:space="preserve"> </w:t>
      </w:r>
      <w:r>
        <w:t xml:space="preserve">the rendered narrative. That removes the unrecorded level along with the recorded values.</w:t>
      </w:r>
      <w:r>
        <w:t xml:space="preserve"> </w:t>
      </w:r>
      <w:r>
        <w:t xml:space="preserve">Discrimination is unchanged in both, every paired interval includes zero, and the re-run</w:t>
      </w:r>
      <w:r>
        <w:t xml:space="preserve"> </w:t>
      </w:r>
      <w:r>
        <w:t xml:space="preserve">is available from the corresponding author.</w:t>
      </w:r>
    </w:p>
    <w:bookmarkEnd w:id="25"/>
    <w:bookmarkStart w:id="26" w:name="X2c4ce48a93e3c477b2410c79a44d5976fc994b3"/>
    <w:p>
      <w:pPr>
        <w:pStyle w:val="Heading1"/>
      </w:pPr>
      <w:r>
        <w:t xml:space="preserve">Supplement M7. Sample size and events per variable</w:t>
      </w:r>
    </w:p>
    <w:p>
      <w:pPr>
        <w:pStyle w:val="FirstParagraph"/>
      </w:pPr>
      <w:r>
        <w:t xml:space="preserve">No formal a-priori sample-size calculation was performed, because cohort size was fixed</w:t>
      </w:r>
      <w:r>
        <w:t xml:space="preserve"> </w:t>
      </w:r>
      <w:r>
        <w:t xml:space="preserve">by the eligibility cascade. Model dimensionality is summarised as events per variable:</w:t>
      </w:r>
      <w:r>
        <w:t xml:space="preserve"> </w:t>
      </w:r>
      <w:r>
        <w:t xml:space="preserve">the number of TRD-positive patients in the training set divided by the number of encoded</w:t>
      </w:r>
      <w:r>
        <w:t xml:space="preserve"> </w:t>
      </w:r>
      <w:r>
        <w:t xml:space="preserve">input columns. The numerator is 5,964 events rather than the full training sample of</w:t>
      </w:r>
      <w:r>
        <w:t xml:space="preserve"> </w:t>
      </w:r>
      <w:r>
        <w:t xml:space="preserve">34,063, because what limits the precision of a coefficient is the size of the minority</w:t>
      </w:r>
      <w:r>
        <w:t xml:space="preserve"> </w:t>
      </w:r>
      <w:r>
        <w:t xml:space="preserve">class. The denominator is the matrix dimension actually supplied to the estimator.</w:t>
      </w:r>
    </w:p>
    <w:p>
      <w:pPr>
        <w:pStyle w:val="BodyText"/>
      </w:pPr>
      <w:r>
        <w:t xml:space="preserve">The resulting ratios differ by an order of magnitude across representations. The feature</w:t>
      </w:r>
      <w:r>
        <w:t xml:space="preserve"> </w:t>
      </w:r>
      <w:r>
        <w:t xml:space="preserve">matrix holds 92 encoded columns, giving 5,964/92, or about 64.8. Embedded dimensionality</w:t>
      </w:r>
      <w:r>
        <w:t xml:space="preserve"> </w:t>
      </w:r>
      <w:r>
        <w:t xml:space="preserve">is encoder-specific:</w:t>
      </w:r>
      <w:r>
        <w:t xml:space="preserve"> </w:t>
      </w:r>
      <w:r>
        <w:rPr>
          <w:rStyle w:val="VerbatimChar"/>
        </w:rPr>
        <w:t xml:space="preserve">bge-small-en-v1.5</w:t>
      </w:r>
      <w:r>
        <w:t xml:space="preserve"> </w:t>
      </w:r>
      <w:r>
        <w:t xml:space="preserve">has 384 dimensions and a ratio near 15.5,</w:t>
      </w:r>
      <w:r>
        <w:t xml:space="preserve"> </w:t>
      </w:r>
      <w:r>
        <w:rPr>
          <w:rStyle w:val="VerbatimChar"/>
        </w:rPr>
        <w:t xml:space="preserve">Qwen3-Embedding-4B</w:t>
      </w:r>
      <w:r>
        <w:t xml:space="preserve"> </w:t>
      </w:r>
      <w:r>
        <w:t xml:space="preserve">has 2,560 and a ratio near 2.3, and</w:t>
      </w:r>
      <w:r>
        <w:t xml:space="preserve"> </w:t>
      </w:r>
      <w:r>
        <w:rPr>
          <w:rStyle w:val="VerbatimChar"/>
        </w:rPr>
        <w:t xml:space="preserve">bge-en-icl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Qwen3-Embedding-8B</w:t>
      </w:r>
      <w:r>
        <w:t xml:space="preserve"> </w:t>
      </w:r>
      <w:r>
        <w:t xml:space="preserve">each have 4,096 and a ratio near 1.5. Only the smallest encoder</w:t>
      </w:r>
      <w:r>
        <w:t xml:space="preserve"> </w:t>
      </w:r>
      <w:r>
        <w:t xml:space="preserve">clears the conventional threshold of 10.</w:t>
      </w:r>
    </w:p>
    <w:p>
      <w:pPr>
        <w:pStyle w:val="BodyText"/>
      </w:pPr>
      <w:r>
        <w:t xml:space="preserve">Two qualifications belong with those numbers. Events per variable was developed for</w:t>
      </w:r>
      <w:r>
        <w:t xml:space="preserve"> </w:t>
      </w:r>
      <w:r>
        <w:t xml:space="preserve">lower-dimensional regression and is not a complete adequacy criterion for a</w:t>
      </w:r>
      <w:r>
        <w:t xml:space="preserve"> </w:t>
      </w:r>
      <w:r>
        <w:t xml:space="preserve">high-dimensional regularised learner. The three larger encoders are therefore</w:t>
      </w:r>
      <w:r>
        <w:t xml:space="preserve"> </w:t>
      </w:r>
      <w:r>
        <w:t xml:space="preserve">interpreted as regularised high-dimensional models rather than as the regressions the</w:t>
      </w:r>
      <w:r>
        <w:t xml:space="preserve"> </w:t>
      </w:r>
      <w:r>
        <w:t xml:space="preserve">measure was devised for. The low ratios nevertheless mark real overfitting risk, and</w:t>
      </w:r>
      <w:r>
        <w:t xml:space="preserve"> </w:t>
      </w:r>
      <w:r>
        <w:t xml:space="preserve">they do not explain the discrimination ranking:</w:t>
      </w:r>
      <w:r>
        <w:t xml:space="preserve"> </w:t>
      </w:r>
      <w:r>
        <w:rPr>
          <w:rStyle w:val="VerbatimChar"/>
        </w:rPr>
        <w:t xml:space="preserve">bge-small-en-v1.5</w:t>
      </w:r>
      <w:r>
        <w:t xml:space="preserve"> </w:t>
      </w:r>
      <w:r>
        <w:t xml:space="preserve">has the most</w:t>
      </w:r>
      <w:r>
        <w:t xml:space="preserve"> </w:t>
      </w:r>
      <w:r>
        <w:t xml:space="preserve">favourable ratio and is the weakest encoder.</w:t>
      </w:r>
    </w:p>
    <w:bookmarkEnd w:id="26"/>
    <w:bookmarkStart w:id="27" w:name="X82923e9ff6f6c79dc534ed1c4d1540b160983a1"/>
    <w:p>
      <w:pPr>
        <w:pStyle w:val="Heading1"/>
      </w:pPr>
      <w:r>
        <w:t xml:space="preserve">Supplement M8. Train/test split, comparability, and leakage safeguards</w:t>
      </w:r>
    </w:p>
    <w:p>
      <w:pPr>
        <w:pStyle w:val="FirstParagraph"/>
      </w:pPr>
      <w:r>
        <w:t xml:space="preserve">One stratified 80:20 train/test split was generated once and reused for every model,</w:t>
      </w:r>
      <w:r>
        <w:t xml:space="preserve"> </w:t>
      </w:r>
      <w:r>
        <w:t xml:space="preserve">representation, encoder and ablation. The training set holds 34,063 patients, of whom</w:t>
      </w:r>
      <w:r>
        <w:t xml:space="preserve"> </w:t>
      </w:r>
      <w:r>
        <w:t xml:space="preserve">5,964 are TRD-positive (17.5%), and the test set 8,516, of whom 1,491 are TRD-positive</w:t>
      </w:r>
      <w:r>
        <w:t xml:space="preserve"> </w:t>
      </w:r>
      <w:r>
        <w:t xml:space="preserve">(17.5%). Standardized mean differences were computed for every predictor as the</w:t>
      </w:r>
      <w:r>
        <w:t xml:space="preserve"> </w:t>
      </w:r>
      <w:r>
        <w:t xml:space="preserve">train-minus-test mean difference over the pooled standard deviation. Across 100 predictor</w:t>
      </w:r>
      <w:r>
        <w:t xml:space="preserve"> </w:t>
      </w:r>
      <w:r>
        <w:t xml:space="preserve">rows the largest absolute value is 0.036 and none reaches 0.10. The largest arises from a</w:t>
      </w:r>
      <w:r>
        <w:t xml:space="preserve"> </w:t>
      </w:r>
      <w:r>
        <w:t xml:space="preserve">rare social-determinant flag present in 22 training patients and no test patient. Outcome</w:t>
      </w:r>
      <w:r>
        <w:t xml:space="preserve"> </w:t>
      </w:r>
      <w:r>
        <w:t xml:space="preserve">frequency is matched by stratification rather than by observation. The distributions</w:t>
      </w:r>
      <w:r>
        <w:t xml:space="preserve"> </w:t>
      </w:r>
      <w:r>
        <w:t xml:space="preserve">themselves are Supplement S9.</w:t>
      </w:r>
    </w:p>
    <w:p>
      <w:pPr>
        <w:pStyle w:val="BodyText"/>
      </w:pPr>
      <w:r>
        <w:t xml:space="preserve">All data-dependent preprocessing happened inside the cross-validation pipeline. On each</w:t>
      </w:r>
      <w:r>
        <w:t xml:space="preserve"> </w:t>
      </w:r>
      <w:r>
        <w:t xml:space="preserve">fold, numeric scaling parameters and categorical levels were learned only from that</w:t>
      </w:r>
      <w:r>
        <w:t xml:space="preserve"> </w:t>
      </w:r>
      <w:r>
        <w:t xml:space="preserve">fold’s training rows and then applied to its validation rows. The final pipeline was</w:t>
      </w:r>
      <w:r>
        <w:t xml:space="preserve"> </w:t>
      </w:r>
      <w:r>
        <w:t xml:space="preserve">fitted on the full training set and evaluated once on the test set.</w:t>
      </w:r>
    </w:p>
    <w:p>
      <w:pPr>
        <w:pStyle w:val="BodyText"/>
      </w:pPr>
      <w:r>
        <w:t xml:space="preserve">The retrieval analyses required their own safeguard. All test identifiers were removed</w:t>
      </w:r>
      <w:r>
        <w:t xml:space="preserve"> </w:t>
      </w:r>
      <w:r>
        <w:t xml:space="preserve">from the searchable index, so each test patient was a query anchor while every neighbour</w:t>
      </w:r>
      <w:r>
        <w:t xml:space="preserve"> </w:t>
      </w:r>
      <w:r>
        <w:t xml:space="preserve">and every neighbour outcome came from the training set. That prevents self-retrieval,</w:t>
      </w:r>
      <w:r>
        <w:t xml:space="preserve"> </w:t>
      </w:r>
      <w:r>
        <w:t xml:space="preserve">test-to-test outcome propagation, and any direct use of a test label in prediction.</w:t>
      </w:r>
      <w:r>
        <w:t xml:space="preserve"> </w:t>
      </w:r>
      <w:r>
        <w:t xml:space="preserve">Train/test comparability supports internal evaluation and says nothing about</w:t>
      </w:r>
      <w:r>
        <w:t xml:space="preserve"> </w:t>
      </w:r>
      <w:r>
        <w:t xml:space="preserve">transportability, because both partitions inherit the same case-enriched sampling frame.</w:t>
      </w:r>
    </w:p>
    <w:bookmarkEnd w:id="27"/>
    <w:bookmarkStart w:id="28" w:name="Xb899518288536ac4b5fc86e565d16598b23667b"/>
    <w:p>
      <w:pPr>
        <w:pStyle w:val="Heading1"/>
      </w:pPr>
      <w:r>
        <w:t xml:space="preserve">Supplement M9. Standard machine-learning pipeline</w:t>
      </w:r>
    </w:p>
    <w:p>
      <w:pPr>
        <w:pStyle w:val="FirstParagraph"/>
      </w:pPr>
      <w:r>
        <w:t xml:space="preserve">Four classifiers were fitted to each representation: logistic regression, random forest,</w:t>
      </w:r>
      <w:r>
        <w:t xml:space="preserve"> </w:t>
      </w:r>
      <w:r>
        <w:t xml:space="preserve">gradient boosting and XGBoost. For the feature representation the column transformer</w:t>
      </w:r>
      <w:r>
        <w:t xml:space="preserve"> </w:t>
      </w:r>
      <w:r>
        <w:t xml:space="preserve">standardised the numeric block, one-hot encoded categorical variables with binary</w:t>
      </w:r>
      <w:r>
        <w:t xml:space="preserve"> </w:t>
      </w:r>
      <w:r>
        <w:t xml:space="preserve">categories collapsed and unknown inference-time levels ignored, and cast boolean</w:t>
      </w:r>
      <w:r>
        <w:t xml:space="preserve"> </w:t>
      </w:r>
      <w:r>
        <w:t xml:space="preserve">indicators to integer without further transformation. The embedded representation entered</w:t>
      </w:r>
      <w:r>
        <w:t xml:space="preserve"> </w:t>
      </w:r>
      <w:r>
        <w:t xml:space="preserve">through the numeric branch only.</w:t>
      </w:r>
    </w:p>
    <w:p>
      <w:pPr>
        <w:pStyle w:val="BodyText"/>
      </w:pPr>
      <w:r>
        <w:t xml:space="preserve">Each classifier and its preprocessing transformer were wrapped in one scikit-learn</w:t>
      </w:r>
      <w:r>
        <w:t xml:space="preserve"> </w:t>
      </w:r>
      <w:r>
        <w:t xml:space="preserve">pipeline. Hyperparameters were selected by five-fold grid search on the training set,</w:t>
      </w:r>
      <w:r>
        <w:t xml:space="preserve"> </w:t>
      </w:r>
      <w:r>
        <w:t xml:space="preserve">optimising ROC AUC. The best configuration was refitted on all training patients and</w:t>
      </w:r>
      <w:r>
        <w:t xml:space="preserve"> </w:t>
      </w:r>
      <w:r>
        <w:t xml:space="preserve">generated held-out probabilities.</w:t>
      </w:r>
    </w:p>
    <w:p>
      <w:pPr>
        <w:pStyle w:val="BodyText"/>
      </w:pPr>
      <w:r>
        <w:t xml:space="preserve">Bundling the transformer with the estimator is what makes the cross-validated estimates</w:t>
      </w:r>
      <w:r>
        <w:t xml:space="preserve"> </w:t>
      </w:r>
      <w:r>
        <w:t xml:space="preserve">trustworthy. The standardizer and the one-hot encoder both estimate parameters from data,</w:t>
      </w:r>
      <w:r>
        <w:t xml:space="preserve"> </w:t>
      </w:r>
      <w:r>
        <w:t xml:space="preserve">so fitting either outside the loop would let held-out rows inform their own</w:t>
      </w:r>
      <w:r>
        <w:t xml:space="preserve"> </w:t>
      </w:r>
      <w:r>
        <w:t xml:space="preserve">transformation. With no imputation anywhere in the pipeline, those two are the only</w:t>
      </w:r>
      <w:r>
        <w:t xml:space="preserve"> </w:t>
      </w:r>
      <w:r>
        <w:t xml:space="preserve">fitted preprocessing steps, so the cross-validated estimates carry no preprocessing</w:t>
      </w:r>
      <w:r>
        <w:t xml:space="preserve"> </w:t>
      </w:r>
      <w:r>
        <w:t xml:space="preserve">leakage. Tuning grids are keyed by classifier alone and are identical across</w:t>
      </w:r>
      <w:r>
        <w:t xml:space="preserve"> </w:t>
      </w:r>
      <w:r>
        <w:t xml:space="preserve">representations.</w:t>
      </w:r>
    </w:p>
    <w:bookmarkEnd w:id="28"/>
    <w:bookmarkStart w:id="29" w:name="X6d34ca9a850db901548f6a568352d6e32739f70"/>
    <w:p>
      <w:pPr>
        <w:pStyle w:val="Heading1"/>
      </w:pPr>
      <w:r>
        <w:t xml:space="preserve">Supplement M10. Neighbor-weighted retrieval prediction</w:t>
      </w:r>
    </w:p>
    <w:p>
      <w:pPr>
        <w:pStyle w:val="FirstParagraph"/>
      </w:pPr>
      <w:r>
        <w:t xml:space="preserve">The retrieval predictor was fitted on the embedded representation only. For query</w:t>
      </w:r>
      <w:r>
        <w:t xml:space="preserve"> </w:t>
      </w:r>
      <w:r>
        <w:t xml:space="preserve">patient q, the predicted TRD probability is the weighted mean of binary TRD labels among</w:t>
      </w:r>
      <w:r>
        <w:t xml:space="preserve"> </w:t>
      </w:r>
      <w:r>
        <w:t xml:space="preserve">K = 50 retrieved training neighbours: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r>
            <m:rPr>
              <m:sty m:val="p"/>
            </m:rPr>
            <m:t>(</m:t>
          </m:r>
          <m:r>
            <m:rPr>
              <m:sty m:val="p"/>
            </m:rPr>
            <m:t>T</m:t>
          </m:r>
          <m:r>
            <m:rPr>
              <m:sty m:val="p"/>
            </m:rPr>
            <m:t>R</m:t>
          </m:r>
          <m:r>
            <m:rPr>
              <m:sty m:val="p"/>
            </m:rPr>
            <m:t>D</m:t>
          </m:r>
          <m:r>
            <m:rPr>
              <m:sty m:val="p"/>
            </m:rPr>
            <m:t>∣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neighbour</w:t>
      </w:r>
      <w:r>
        <w:t xml:space="preserve"> </w:t>
      </w:r>
      <m:oMath>
        <m:r>
          <m:t>i</m:t>
        </m:r>
      </m:oMath>
      <w:r>
        <w:t xml:space="preserve">’s TRD label and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non-negative weight.</w:t>
      </w:r>
      <w:r>
        <w:t xml:space="preserve"> </w:t>
      </w:r>
      <w:r>
        <w:t xml:space="preserve">Neighbourhood concentration was summarised by the effective sample size,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S</m:t>
          </m:r>
          <m:r>
            <m:rPr>
              <m:sty m:val="p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K</m:t>
                          </m:r>
                        </m:sup>
                        <m:e>
                          <m:sSub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Sup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uniform weighting and falls as weight concentrates on fewer</w:t>
      </w:r>
      <w:r>
        <w:t xml:space="preserve"> </w:t>
      </w:r>
      <w:r>
        <w:t xml:space="preserve">neighbours. Four weighting strategies were tested: uniform, cosine similarity between</w:t>
      </w:r>
      <w:r>
        <w:t xml:space="preserve"> </w:t>
      </w:r>
      <w:r>
        <w:t xml:space="preserve">anchor and neighbour, language-model similarity, and the harmonic mean of the last two.</w:t>
      </w:r>
    </w:p>
    <w:p>
      <w:pPr>
        <w:pStyle w:val="BodyText"/>
      </w:pPr>
      <w:r>
        <w:rPr>
          <w:rStyle w:val="VerbatimChar"/>
        </w:rPr>
        <w:t xml:space="preserve">MedGemma-27B</w:t>
      </w:r>
      <w:r>
        <w:t xml:space="preserve"> </w:t>
      </w:r>
      <w:r>
        <w:t xml:space="preserve">[15] served as an outcome-blind similarity judge. It compared each pair of</w:t>
      </w:r>
      <w:r>
        <w:t xml:space="preserve"> </w:t>
      </w:r>
      <w:r>
        <w:t xml:space="preserve">deterministic narratives against a fixed six-dimension rubric and returned structured</w:t>
      </w:r>
      <w:r>
        <w:t xml:space="preserve"> </w:t>
      </w:r>
      <w:r>
        <w:t xml:space="preserve">JSON carrying an overall score from 0 to 100, rescaled to the unit interval. The judge</w:t>
      </w:r>
      <w:r>
        <w:t xml:space="preserve"> </w:t>
      </w:r>
      <w:r>
        <w:t xml:space="preserve">never received neighbour outcomes and never classified TRD. Its score changed only how</w:t>
      </w:r>
      <w:r>
        <w:t xml:space="preserve"> </w:t>
      </w:r>
      <w:r>
        <w:t xml:space="preserve">much a retrieved neighbour contributed to the weighted mean.</w:t>
      </w:r>
    </w:p>
    <w:p>
      <w:pPr>
        <w:pStyle w:val="BodyText"/>
      </w:pPr>
      <w:r>
        <w:t xml:space="preserve">The judge’s accuracy is unmeasured, and the design bounds what that costs. No human-rated</w:t>
      </w:r>
      <w:r>
        <w:t xml:space="preserve"> </w:t>
      </w:r>
      <w:r>
        <w:t xml:space="preserve">anchor-neighbour pairs were available to estimate its sensitivity, specificity or</w:t>
      </w:r>
      <w:r>
        <w:t xml:space="preserve"> </w:t>
      </w:r>
      <w:r>
        <w:t xml:space="preserve">calibration [24], so no accuracy claim and no corrected descriptive quantity is derived</w:t>
      </w:r>
      <w:r>
        <w:t xml:space="preserve"> </w:t>
      </w:r>
      <w:r>
        <w:t xml:space="preserve">from its assessments. An incorrect judgement could mis-weight a neighbour and reduce</w:t>
      </w:r>
      <w:r>
        <w:t xml:space="preserve"> </w:t>
      </w:r>
      <w:r>
        <w:t xml:space="preserve">performance. It could not create a direct outcome-information pathway, because the judge</w:t>
      </w:r>
      <w:r>
        <w:t xml:space="preserve"> </w:t>
      </w:r>
      <w:r>
        <w:t xml:space="preserve">never observed an outcome. The fixed prompt, rubric, JSON schema and worked examples are</w:t>
      </w:r>
      <w:r>
        <w:t xml:space="preserve"> </w:t>
      </w:r>
      <w:r>
        <w:t xml:space="preserve">Supplement S1.</w:t>
      </w:r>
    </w:p>
    <w:p>
      <w:pPr>
        <w:pStyle w:val="BodyText"/>
      </w:pPr>
      <w:r>
        <w:t xml:space="preserve">The retrieval schemes were these.</w:t>
      </w:r>
      <w:r>
        <w:t xml:space="preserve"> </w:t>
      </w:r>
      <w:r>
        <w:rPr>
          <w:i/>
          <w:iCs/>
        </w:rPr>
        <w:t xml:space="preserve">Nearest</w:t>
      </w:r>
      <w:r>
        <w:t xml:space="preserve"> </w:t>
      </w:r>
      <w:r>
        <w:t xml:space="preserve">selects the K training patients of</w:t>
      </w:r>
      <w:r>
        <w:t xml:space="preserve"> </w:t>
      </w:r>
      <w:r>
        <w:t xml:space="preserve">highest cosine similarity.</w:t>
      </w:r>
      <w:r>
        <w:t xml:space="preserve"> </w:t>
      </w:r>
      <w:r>
        <w:rPr>
          <w:i/>
          <w:iCs/>
        </w:rPr>
        <w:t xml:space="preserve">Random</w:t>
      </w:r>
      <w:r>
        <w:t xml:space="preserve"> </w:t>
      </w:r>
      <w:r>
        <w:t xml:space="preserve">draws K training patients uniformly.</w:t>
      </w:r>
      <w:r>
        <w:t xml:space="preserve"> </w:t>
      </w:r>
      <w:r>
        <w:rPr>
          <w:i/>
          <w:iCs/>
        </w:rPr>
        <w:t xml:space="preserve">Subsampled</w:t>
      </w:r>
      <w:r>
        <w:t xml:space="preserve"> </w:t>
      </w:r>
      <w:r>
        <w:t xml:space="preserve">first draws a large</w:t>
      </w:r>
      <w:r>
        <w:t xml:space="preserve"> </w:t>
      </w:r>
      <w:r>
        <w:t xml:space="preserve">random candidate pool and then keeps the K most similar within it. That last scheme</w:t>
      </w:r>
      <w:r>
        <w:t xml:space="preserve"> </w:t>
      </w:r>
      <w:r>
        <w:t xml:space="preserve">tests whether discrimination survives when the closest and potentially redundant</w:t>
      </w:r>
      <w:r>
        <w:t xml:space="preserve"> </w:t>
      </w:r>
      <w:r>
        <w:t xml:space="preserve">neighbours are replaced by less extreme but still similar ones, and it does not assume</w:t>
      </w:r>
      <w:r>
        <w:t xml:space="preserve"> </w:t>
      </w:r>
      <w:r>
        <w:t xml:space="preserve">geometric hub vectors are present. This arm is embedding-only, because cosine similarity</w:t>
      </w:r>
      <w:r>
        <w:t xml:space="preserve"> </w:t>
      </w:r>
      <w:r>
        <w:t xml:space="preserve">is not well defined over mixed categorical and numeric features.</w:t>
      </w:r>
    </w:p>
    <w:bookmarkEnd w:id="29"/>
    <w:bookmarkStart w:id="30" w:name="Xa566526ee788d6425d39658c2ad6023faa27413"/>
    <w:p>
      <w:pPr>
        <w:pStyle w:val="Heading1"/>
      </w:pPr>
      <w:r>
        <w:t xml:space="preserve">Supplement M11. Semantic-feature ablation specifications</w:t>
      </w:r>
    </w:p>
    <w:p>
      <w:pPr>
        <w:pStyle w:val="FirstParagraph"/>
      </w:pPr>
      <w:r>
        <w:t xml:space="preserve">The ablation measures direct-input reliance and nothing wider. For each target concept,</w:t>
      </w:r>
      <w:r>
        <w:t xml:space="preserve"> </w:t>
      </w:r>
      <w:r>
        <w:t xml:space="preserve">patient values were reassigned through a random one-to-one cohort-wide donor permutation,</w:t>
      </w:r>
      <w:r>
        <w:t xml:space="preserve"> </w:t>
      </w:r>
      <w:r>
        <w:t xml:space="preserve">which retains the same marginal set of values while severing the association between a</w:t>
      </w:r>
      <w:r>
        <w:t xml:space="preserve"> </w:t>
      </w:r>
      <w:r>
        <w:t xml:space="preserve">patient’s concept value and their outcome. Section-level ablations exchange a complete</w:t>
      </w:r>
      <w:r>
        <w:t xml:space="preserve"> </w:t>
      </w:r>
      <w:r>
        <w:t xml:space="preserve">narrative section and field-level ablations exchange only the named field. Perturbed</w:t>
      </w:r>
      <w:r>
        <w:t xml:space="preserve"> </w:t>
      </w:r>
      <w:r>
        <w:t xml:space="preserve">narratives were re-embedded and the baseline classifiers were kept frozen, so the change</w:t>
      </w:r>
      <w:r>
        <w:t xml:space="preserve"> </w:t>
      </w:r>
      <w:r>
        <w:t xml:space="preserve">in ROC AUC answers whether the fitted pipeline relies on that input. It does not answer</w:t>
      </w:r>
      <w:r>
        <w:t xml:space="preserve"> </w:t>
      </w:r>
      <w:r>
        <w:t xml:space="preserve">whether a newly trained model could substitute correlated information. Like every other</w:t>
      </w:r>
      <w:r>
        <w:t xml:space="preserve"> </w:t>
      </w:r>
      <w:r>
        <w:t xml:space="preserve">predictor, all six concepts are measured at or before the index date, and permuting one</w:t>
      </w:r>
      <w:r>
        <w:t xml:space="preserve"> </w:t>
      </w:r>
      <w:r>
        <w:t xml:space="preserve">leaves the rest of the narrative untouched.</w:t>
      </w:r>
    </w:p>
    <w:p>
      <w:pPr>
        <w:pStyle w:val="BodyText"/>
      </w:pPr>
      <w:r>
        <w:rPr>
          <w:b/>
          <w:bCs/>
        </w:rPr>
        <w:t xml:space="preserve">Psychiatric history</w:t>
      </w:r>
      <w:r>
        <w:t xml:space="preserve"> </w:t>
      </w:r>
      <w:r>
        <w:t xml:space="preserve">(section). Three groups of content:</w:t>
      </w:r>
    </w:p>
    <w:p>
      <w:pPr>
        <w:pStyle w:val="Compact"/>
        <w:numPr>
          <w:ilvl w:val="0"/>
          <w:numId w:val="1003"/>
        </w:numPr>
      </w:pPr>
      <w:r>
        <w:t xml:space="preserve">present-or-absent indicators for anxiety disorder, social anxiety disorder,</w:t>
      </w:r>
      <w:r>
        <w:t xml:space="preserve"> </w:t>
      </w:r>
      <w:r>
        <w:t xml:space="preserve">obsessive-compulsive disorder, posttraumatic stress disorder, adjustment disorder,</w:t>
      </w:r>
      <w:r>
        <w:t xml:space="preserve"> </w:t>
      </w:r>
      <w:r>
        <w:t xml:space="preserve">dysthymia, insomnia and any substance-use disorder;</w:t>
      </w:r>
    </w:p>
    <w:p>
      <w:pPr>
        <w:pStyle w:val="Compact"/>
        <w:numPr>
          <w:ilvl w:val="0"/>
          <w:numId w:val="1003"/>
        </w:numPr>
      </w:pPr>
      <w:r>
        <w:t xml:space="preserve">any suicidal-ideation or suicide-attempt code in the two-year lookback;</w:t>
      </w:r>
    </w:p>
    <w:p>
      <w:pPr>
        <w:pStyle w:val="Compact"/>
        <w:numPr>
          <w:ilvl w:val="0"/>
          <w:numId w:val="1003"/>
        </w:numPr>
      </w:pPr>
      <w:r>
        <w:t xml:space="preserve">named substance categories, including alcohol, cannabis, cocaine, nicotine, opioid and</w:t>
      </w:r>
      <w:r>
        <w:t xml:space="preserve"> </w:t>
      </w:r>
      <w:r>
        <w:t xml:space="preserve">sedative or hypnotic disorders.</w:t>
      </w:r>
    </w:p>
    <w:p>
      <w:pPr>
        <w:pStyle w:val="FirstParagraph"/>
      </w:pPr>
      <w:r>
        <w:t xml:space="preserve">It carries documented diagnoses rather than treatments.</w:t>
      </w:r>
    </w:p>
    <w:p>
      <w:pPr>
        <w:pStyle w:val="BodyText"/>
      </w:pPr>
      <w:r>
        <w:rPr>
          <w:b/>
          <w:bCs/>
        </w:rPr>
        <w:t xml:space="preserve">Medication burden</w:t>
      </w:r>
      <w:r>
        <w:t xml:space="preserve"> </w:t>
      </w:r>
      <w:r>
        <w:t xml:space="preserve">(section). The count and names of distinct active drug ingredients</w:t>
      </w:r>
      <w:r>
        <w:t xml:space="preserve"> </w:t>
      </w:r>
      <w:r>
        <w:t xml:space="preserve">at the index date across all therapeutic classes, and the count and names of distinct</w:t>
      </w:r>
      <w:r>
        <w:t xml:space="preserve"> </w:t>
      </w:r>
      <w:r>
        <w:t xml:space="preserve">non-steroidal anti-inflammatory ingredients prescribed for at least seven days. It stands</w:t>
      </w:r>
      <w:r>
        <w:t xml:space="preserve"> </w:t>
      </w:r>
      <w:r>
        <w:t xml:space="preserve">in for overall medical complexity and pill burden rather than for psychiatric treatment.</w:t>
      </w:r>
    </w:p>
    <w:p>
      <w:pPr>
        <w:pStyle w:val="BodyText"/>
      </w:pPr>
      <w:r>
        <w:rPr>
          <w:b/>
          <w:bCs/>
        </w:rPr>
        <w:t xml:space="preserve">Treatment exposure</w:t>
      </w:r>
      <w:r>
        <w:t xml:space="preserve"> </w:t>
      </w:r>
      <w:r>
        <w:t xml:space="preserve">(section). Four groups of content:</w:t>
      </w:r>
    </w:p>
    <w:p>
      <w:pPr>
        <w:pStyle w:val="Compact"/>
        <w:numPr>
          <w:ilvl w:val="0"/>
          <w:numId w:val="1004"/>
        </w:numPr>
      </w:pPr>
      <w:r>
        <w:t xml:space="preserve">pre-index counts of adequate trials for selective serotonin reuptake inhibitors,</w:t>
      </w:r>
      <w:r>
        <w:t xml:space="preserve"> </w:t>
      </w:r>
      <w:r>
        <w:t xml:space="preserve">serotonin-norepinephrine reuptake inhibitors, bupropion, mirtazapine and vortioxetine,</w:t>
      </w:r>
      <w:r>
        <w:t xml:space="preserve"> </w:t>
      </w:r>
      <w:r>
        <w:t xml:space="preserve">each requiring at least 42 continuous days on the agent;</w:t>
      </w:r>
    </w:p>
    <w:p>
      <w:pPr>
        <w:pStyle w:val="Compact"/>
        <w:numPr>
          <w:ilvl w:val="0"/>
          <w:numId w:val="1004"/>
        </w:numPr>
      </w:pPr>
      <w:r>
        <w:t xml:space="preserve">total benzodiazepine days covered during the lookback;</w:t>
      </w:r>
    </w:p>
    <w:p>
      <w:pPr>
        <w:pStyle w:val="Compact"/>
        <w:numPr>
          <w:ilvl w:val="0"/>
          <w:numId w:val="1004"/>
        </w:numPr>
      </w:pPr>
      <w:r>
        <w:t xml:space="preserve">hypnotic agents prescribed for at least seven days;</w:t>
      </w:r>
    </w:p>
    <w:p>
      <w:pPr>
        <w:pStyle w:val="Compact"/>
        <w:numPr>
          <w:ilvl w:val="0"/>
          <w:numId w:val="1004"/>
        </w:numPr>
      </w:pPr>
      <w:r>
        <w:t xml:space="preserve">augmentation, defined as an antidepressant overlapping lithium, an antipsychotic or</w:t>
      </w:r>
      <w:r>
        <w:t xml:space="preserve"> </w:t>
      </w:r>
      <w:r>
        <w:t xml:space="preserve">buspirone for at least 14 days.</w:t>
      </w:r>
    </w:p>
    <w:p>
      <w:pPr>
        <w:pStyle w:val="FirstParagraph"/>
      </w:pPr>
      <w:r>
        <w:t xml:space="preserve">It is distinct from all-class medication</w:t>
      </w:r>
      <w:r>
        <w:t xml:space="preserve"> </w:t>
      </w:r>
      <w:r>
        <w:t xml:space="preserve">burden and from the post-index agents used to construct the outcome.</w:t>
      </w:r>
    </w:p>
    <w:p>
      <w:pPr>
        <w:pStyle w:val="BodyText"/>
      </w:pPr>
      <w:r>
        <w:rPr>
          <w:b/>
          <w:bCs/>
        </w:rPr>
        <w:t xml:space="preserve">Treatment contraindications</w:t>
      </w:r>
      <w:r>
        <w:t xml:space="preserve"> </w:t>
      </w:r>
      <w:r>
        <w:t xml:space="preserve">(section). Seizure disorder, which weighs against</w:t>
      </w:r>
      <w:r>
        <w:t xml:space="preserve"> </w:t>
      </w:r>
      <w:r>
        <w:t xml:space="preserve">bupropion, and uncontrolled hypertension, which weighs against</w:t>
      </w:r>
      <w:r>
        <w:t xml:space="preserve"> </w:t>
      </w:r>
      <w:r>
        <w:t xml:space="preserve">serotonin-norepinephrine reuptake inhibitors. The concept is constraint on escalation</w:t>
      </w:r>
      <w:r>
        <w:t xml:space="preserve"> </w:t>
      </w:r>
      <w:r>
        <w:t xml:space="preserve">options rather than general medical comorbidity, which the narrative reports in a</w:t>
      </w:r>
      <w:r>
        <w:t xml:space="preserve"> </w:t>
      </w:r>
      <w:r>
        <w:t xml:space="preserve">separate section that was not permuted.</w:t>
      </w:r>
    </w:p>
    <w:p>
      <w:pPr>
        <w:pStyle w:val="BodyText"/>
      </w:pPr>
      <w:r>
        <w:rPr>
          <w:b/>
          <w:bCs/>
        </w:rPr>
        <w:t xml:space="preserve">Race/ethnicity</w:t>
      </w:r>
      <w:r>
        <w:t xml:space="preserve"> </w:t>
      </w:r>
      <w:r>
        <w:t xml:space="preserve">(field). The recorded category, including an explicit unrecorded</w:t>
      </w:r>
      <w:r>
        <w:t xml:space="preserve"> </w:t>
      </w:r>
      <w:r>
        <w:t xml:space="preserve">level, permuted inside an otherwise unchanged sociodemographic section. Sex, age,</w:t>
      </w:r>
      <w:r>
        <w:t xml:space="preserve"> </w:t>
      </w:r>
      <w:r>
        <w:t xml:space="preserve">preferred language, marital status, religion and smoking status were not altered.</w:t>
      </w:r>
    </w:p>
    <w:p>
      <w:pPr>
        <w:pStyle w:val="BodyText"/>
      </w:pPr>
      <w:r>
        <w:rPr>
          <w:b/>
          <w:bCs/>
        </w:rPr>
        <w:t xml:space="preserve">Social determinants of health</w:t>
      </w:r>
      <w:r>
        <w:t xml:space="preserve"> </w:t>
      </w:r>
      <w:r>
        <w:t xml:space="preserve">(field). ICD-10 Z-code categories recorded during the</w:t>
      </w:r>
      <w:r>
        <w:t xml:space="preserve"> </w:t>
      </w:r>
      <w:r>
        <w:t xml:space="preserve">lookback: education or literacy, employment, occupational exposure, housing and economic</w:t>
      </w:r>
      <w:r>
        <w:t xml:space="preserve"> </w:t>
      </w:r>
      <w:r>
        <w:t xml:space="preserve">circumstances, social environment, upbringing, primary support group and family</w:t>
      </w:r>
      <w:r>
        <w:t xml:space="preserve"> </w:t>
      </w:r>
      <w:r>
        <w:t xml:space="preserve">circumstances, psychosocial circumstances, and legal or criminal circumstances. The</w:t>
      </w:r>
      <w:r>
        <w:t xml:space="preserve"> </w:t>
      </w:r>
      <w:r>
        <w:t xml:space="preserve">narrative renders</w:t>
      </w:r>
      <w:r>
        <w:t xml:space="preserve"> </w:t>
      </w:r>
      <w:r>
        <w:t xml:space="preserve">“None Recorded”</w:t>
      </w:r>
      <w:r>
        <w:t xml:space="preserve"> </w:t>
      </w:r>
      <w:r>
        <w:t xml:space="preserve">when no qualifying code is present, and only this field</w:t>
      </w:r>
      <w:r>
        <w:t xml:space="preserve"> </w:t>
      </w:r>
      <w:r>
        <w:t xml:space="preserve">was permuted.</w:t>
      </w:r>
    </w:p>
    <w:p>
      <w:pPr>
        <w:pStyle w:val="BodyText"/>
      </w:pPr>
      <w:r>
        <w:t xml:space="preserve">Three questions this design cannot answer are worth naming, because a reader may expect</w:t>
      </w:r>
      <w:r>
        <w:t xml:space="preserve"> </w:t>
      </w:r>
      <w:r>
        <w:t xml:space="preserve">it to. It does not determine whether outcome labelling or care processes are equitable.</w:t>
      </w:r>
      <w:r>
        <w:t xml:space="preserve"> </w:t>
      </w:r>
      <w:r>
        <w:t xml:space="preserve">It does not determine whether a permuted attribute can be reconstructed from correlated</w:t>
      </w:r>
      <w:r>
        <w:t xml:space="preserve"> </w:t>
      </w:r>
      <w:r>
        <w:t xml:space="preserve">inputs. It does not determine whether discrimination and calibration differ across</w:t>
      </w:r>
      <w:r>
        <w:t xml:space="preserve"> </w:t>
      </w:r>
      <w:r>
        <w:t xml:space="preserve">subgroups. A negligible race and ethnicity delta, for instance, would not exclude</w:t>
      </w:r>
      <w:r>
        <w:t xml:space="preserve"> </w:t>
      </w:r>
      <w:r>
        <w:t xml:space="preserve">sociodemographic information carried in utilisation, diagnosis or treatment patterns.</w:t>
      </w:r>
    </w:p>
    <w:bookmarkEnd w:id="30"/>
    <w:bookmarkStart w:id="31" w:name="supplement-m12.-evaluation-coverage"/>
    <w:p>
      <w:pPr>
        <w:pStyle w:val="Heading1"/>
      </w:pPr>
      <w:r>
        <w:t xml:space="preserve">Supplement M12. Evaluation coverage</w:t>
      </w:r>
    </w:p>
    <w:p>
      <w:pPr>
        <w:pStyle w:val="FirstParagraph"/>
      </w:pPr>
      <w:r>
        <w:t xml:space="preserve">Standard machine learning, the cross-encoder comparison and the semantic ablation all</w:t>
      </w:r>
      <w:r>
        <w:t xml:space="preserve"> </w:t>
      </w:r>
      <w:r>
        <w:t xml:space="preserve">used the complete 42,579-patient cohort and the shared 8,516-patient test set, with</w:t>
      </w:r>
      <w:r>
        <w:t xml:space="preserve"> </w:t>
      </w:r>
      <w:r>
        <w:rPr>
          <w:rStyle w:val="VerbatimChar"/>
        </w:rPr>
        <w:t xml:space="preserve">Qwen3-Embedding-8B</w:t>
      </w:r>
      <w:r>
        <w:t xml:space="preserve"> </w:t>
      </w:r>
      <w:r>
        <w:t xml:space="preserve">as the encoder and</w:t>
      </w:r>
      <w:r>
        <w:t xml:space="preserve"> </w:t>
      </w:r>
      <w:r>
        <w:rPr>
          <w:rStyle w:val="VerbatimChar"/>
        </w:rPr>
        <w:t xml:space="preserve">MedGemma-27B</w:t>
      </w:r>
      <w:r>
        <w:t xml:space="preserve"> </w:t>
      </w:r>
      <w:r>
        <w:t xml:space="preserve">as the similarity judge.</w:t>
      </w:r>
      <w:r>
        <w:t xml:space="preserve"> </w:t>
      </w:r>
      <w:r>
        <w:t xml:space="preserve">The retrieval analyses used the full grid of retrieval schemes and weightings for Qwen3-Embedding-8B.</w:t>
      </w:r>
    </w:p>
    <w:p>
      <w:pPr>
        <w:pStyle w:val="BodyText"/>
      </w:pPr>
      <w:r>
        <w:t xml:space="preserve">On that encoder the retrieval scheme dominated the weighting strategy. The weightings</w:t>
      </w:r>
      <w:r>
        <w:t xml:space="preserve"> </w:t>
      </w:r>
      <w:r>
        <w:t xml:space="preserve">were nearly indistinguishable under nearest retrieval, and the judge added value only</w:t>
      </w:r>
      <w:r>
        <w:t xml:space="preserve"> </w:t>
      </w:r>
      <w:r>
        <w:t xml:space="preserve">where retrieval was already uninformative. The subsampled scheme was</w:t>
      </w:r>
      <w:r>
        <w:t xml:space="preserve"> </w:t>
      </w:r>
      <w:r>
        <w:t xml:space="preserve">therefore not rerun for the other encoders, and neither were the language-model and</w:t>
      </w:r>
      <w:r>
        <w:t xml:space="preserve"> </w:t>
      </w:r>
      <w:r>
        <w:t xml:space="preserve">combined weightings. The three remaining encoders were evaluated on a reduced grid:</w:t>
      </w:r>
      <w:r>
        <w:t xml:space="preserve"> </w:t>
      </w:r>
      <w:r>
        <w:t xml:space="preserve">nearest and random retrieval crossed with uniform and cosine weighting. That is enough</w:t>
      </w:r>
      <w:r>
        <w:t xml:space="preserve"> </w:t>
      </w:r>
      <w:r>
        <w:t xml:space="preserve">to establish whether the nearest-versus-random ordering generalises.</w:t>
      </w:r>
    </w:p>
    <w:bookmarkEnd w:id="31"/>
    <w:bookmarkStart w:id="32" w:name="supplement-m13.-metrics-and-uncertainty"/>
    <w:p>
      <w:pPr>
        <w:pStyle w:val="Heading1"/>
      </w:pPr>
      <w:r>
        <w:t xml:space="preserve">Supplement M13. Metrics and uncertainty</w:t>
      </w:r>
    </w:p>
    <w:p>
      <w:pPr>
        <w:pStyle w:val="FirstParagraph"/>
      </w:pPr>
      <w:r>
        <w:t xml:space="preserve">Discrimination was measured by ROC AUC. Calibration was summarised by intercept and</w:t>
      </w:r>
      <w:r>
        <w:t xml:space="preserve"> </w:t>
      </w:r>
      <w:r>
        <w:t xml:space="preserve">slope, with ideal values of 0 and 1. The extract was case-enriched, so calibration in</w:t>
      </w:r>
      <w:r>
        <w:t xml:space="preserve"> </w:t>
      </w:r>
      <w:r>
        <w:t xml:space="preserve">the large pertains to this cohort’s observed TRD frequency. It does not transport to a</w:t>
      </w:r>
      <w:r>
        <w:t xml:space="preserve"> </w:t>
      </w:r>
      <w:r>
        <w:t xml:space="preserve">sampling-representative population without recalibration.</w:t>
      </w:r>
    </w:p>
    <w:p>
      <w:pPr>
        <w:pStyle w:val="BodyText"/>
      </w:pPr>
      <w:r>
        <w:t xml:space="preserve">Continuous probabilities were dichotomised at the test-set threshold maximising Youden’s</w:t>
      </w:r>
      <w:r>
        <w:t xml:space="preserve"> </w:t>
      </w:r>
      <w:r>
        <w:t xml:space="preserve">J, and sensitivity, specificity and positive and negative likelihood ratios were computed</w:t>
      </w:r>
      <w:r>
        <w:t xml:space="preserve"> </w:t>
      </w:r>
      <w:r>
        <w:t xml:space="preserve">from the resulting confusion matrix. Selecting and evaluating a threshold in the same</w:t>
      </w:r>
      <w:r>
        <w:t xml:space="preserve"> </w:t>
      </w:r>
      <w:r>
        <w:t xml:space="preserve">test set produces optimistic operating characteristics, so these estimates characterise</w:t>
      </w:r>
      <w:r>
        <w:t xml:space="preserve"> </w:t>
      </w:r>
      <w:r>
        <w:t xml:space="preserve">the ROC curve rather than propose a deployment threshold. A clinical threshold would have</w:t>
      </w:r>
      <w:r>
        <w:t xml:space="preserve"> </w:t>
      </w:r>
      <w:r>
        <w:t xml:space="preserve">to be selected entirely within development data and evaluated in a separate temporal or</w:t>
      </w:r>
      <w:r>
        <w:t xml:space="preserve"> </w:t>
      </w:r>
      <w:r>
        <w:t xml:space="preserve">external cohort.</w:t>
      </w:r>
    </w:p>
    <w:p>
      <w:pPr>
        <w:pStyle w:val="BodyText"/>
      </w:pPr>
      <w:r>
        <w:t xml:space="preserve">Metric confidence intervals were estimated by resampling test-set patients with</w:t>
      </w:r>
      <w:r>
        <w:t xml:space="preserve"> </w:t>
      </w:r>
      <w:r>
        <w:t xml:space="preserve">replacement. For ablation contrasts the same patient resample was applied to the baseline</w:t>
      </w:r>
      <w:r>
        <w:t xml:space="preserve"> </w:t>
      </w:r>
      <w:r>
        <w:t xml:space="preserve">and perturbed prediction vectors before the ROC AUC difference was recomputed. The point</w:t>
      </w:r>
      <w:r>
        <w:t xml:space="preserve"> </w:t>
      </w:r>
      <w:r>
        <w:t xml:space="preserve">estimate is the full-sample difference and the 2.5th and 97.5th percentiles of the</w:t>
      </w:r>
      <w:r>
        <w:t xml:space="preserve"> </w:t>
      </w:r>
      <w:r>
        <w:t xml:space="preserve">bootstrap distribution form the 95% interval. Paired resampling preserves within-patient</w:t>
      </w:r>
      <w:r>
        <w:t xml:space="preserve"> </w:t>
      </w:r>
      <w:r>
        <w:t xml:space="preserve">correlation and avoids overstating the uncertainty of a difference.</w:t>
      </w:r>
    </w:p>
    <w:p>
      <w:pPr>
        <w:pStyle w:val="BodyText"/>
      </w:pPr>
      <w:r>
        <w:t xml:space="preserve">Representation contrasts used the same paired bootstrap. Classifier-matched comparisons</w:t>
      </w:r>
      <w:r>
        <w:t xml:space="preserve"> </w:t>
      </w:r>
      <w:r>
        <w:t xml:space="preserve">held the learner constant and varied only the representation. The best-versus-best</w:t>
      </w:r>
      <w:r>
        <w:t xml:space="preserve"> </w:t>
      </w:r>
      <w:r>
        <w:t xml:space="preserve">contrast compares each representation’s strongest classifier, and that classifier was</w:t>
      </w:r>
      <w:r>
        <w:t xml:space="preserve"> </w:t>
      </w:r>
      <w:r>
        <w:t xml:space="preserve">identified post hoc on the test set, so the contrast is interpreted descriptively. One</w:t>
      </w:r>
      <w:r>
        <w:t xml:space="preserve"> </w:t>
      </w:r>
      <w:r>
        <w:t xml:space="preserve">resample matrix was reused across all contrasts to keep them mutually comparable.</w:t>
      </w:r>
    </w:p>
    <w:p>
      <w:pPr>
        <w:pStyle w:val="BodyText"/>
      </w:pPr>
      <w:r>
        <w:t xml:space="preserve">No equivalence or non-inferiority margin was prespecified. A paired interval containing</w:t>
      </w:r>
      <w:r>
        <w:t xml:space="preserve"> </w:t>
      </w:r>
      <w:r>
        <w:t xml:space="preserve">zero indicates that superiority was not established at the precision achieved. It does</w:t>
      </w:r>
      <w:r>
        <w:t xml:space="preserve"> </w:t>
      </w:r>
      <w:r>
        <w:t xml:space="preserve">not establish equivalence.</w:t>
      </w:r>
    </w:p>
    <w:bookmarkEnd w:id="32"/>
    <w:bookmarkStart w:id="45" w:name="X63c38429e3789b064d641bee69aa47b592bf92d"/>
    <w:p>
      <w:pPr>
        <w:pStyle w:val="Heading1"/>
      </w:pPr>
      <w:r>
        <w:t xml:space="preserve">Supplement S1. LLM clinical-similarity judge</w:t>
      </w:r>
    </w:p>
    <w:bookmarkStart w:id="33" w:name="s1.1-task"/>
    <w:p>
      <w:pPr>
        <w:pStyle w:val="Heading2"/>
      </w:pPr>
      <w:r>
        <w:t xml:space="preserve">S1.1 Task</w:t>
      </w:r>
    </w:p>
    <w:p>
      <w:pPr>
        <w:pStyle w:val="FirstParagraph"/>
      </w:pPr>
      <w:r>
        <w:t xml:space="preserve">In the neighbour-weighted prediction arm, the language-model weighting strategy used</w:t>
      </w:r>
      <w:r>
        <w:t xml:space="preserve"> </w:t>
      </w:r>
      <w:r>
        <w:rPr>
          <w:rStyle w:val="VerbatimChar"/>
        </w:rPr>
        <w:t xml:space="preserve">MedGemma-27B</w:t>
      </w:r>
      <w:r>
        <w:t xml:space="preserve"> </w:t>
      </w:r>
      <w:r>
        <w:t xml:space="preserve">as a clinical-similarity judge. For each anchor-neighbour pair the judge</w:t>
      </w:r>
      <w:r>
        <w:t xml:space="preserve"> </w:t>
      </w:r>
      <w:r>
        <w:t xml:space="preserve">received the two patients’ deterministic narratives and returned a structured JSON</w:t>
      </w:r>
      <w:r>
        <w:t xml:space="preserve"> </w:t>
      </w:r>
      <w:r>
        <w:t xml:space="preserve">score. Only the integer</w:t>
      </w:r>
      <w:r>
        <w:t xml:space="preserve"> </w:t>
      </w:r>
      <w:r>
        <w:rPr>
          <w:rStyle w:val="VerbatimChar"/>
        </w:rPr>
        <w:t xml:space="preserve">overall_similarity</w:t>
      </w:r>
      <w:r>
        <w:t xml:space="preserve"> </w:t>
      </w:r>
      <w:r>
        <w:t xml:space="preserve">field, from 0 to 100 and rescaled to the</w:t>
      </w:r>
      <w:r>
        <w:t xml:space="preserve"> </w:t>
      </w:r>
      <w:r>
        <w:t xml:space="preserve">unit interval, was used as the neighbour weight. The per-dimension sub-scores and</w:t>
      </w:r>
      <w:r>
        <w:t xml:space="preserve"> </w:t>
      </w:r>
      <w:r>
        <w:t xml:space="preserve">free-text lists were retained for auditing and never entered the prediction. The judge</w:t>
      </w:r>
      <w:r>
        <w:t xml:space="preserve"> </w:t>
      </w:r>
      <w:r>
        <w:t xml:space="preserve">ran against a cache, with each unordered pair scored once and stored, so repeated runs</w:t>
      </w:r>
      <w:r>
        <w:t xml:space="preserve"> </w:t>
      </w:r>
      <w:r>
        <w:t xml:space="preserve">are deterministic with respect to that cache.</w:t>
      </w:r>
    </w:p>
    <w:bookmarkEnd w:id="33"/>
    <w:bookmarkStart w:id="34" w:name="s1.2-system-prompt-verbatim"/>
    <w:p>
      <w:pPr>
        <w:pStyle w:val="Heading2"/>
      </w:pPr>
      <w:r>
        <w:t xml:space="preserve">S1.2 System prompt (verbatim)</w:t>
      </w:r>
    </w:p>
    <w:p>
      <w:pPr>
        <w:pStyle w:val="SourceCode"/>
      </w:pPr>
      <w:r>
        <w:rPr>
          <w:rStyle w:val="VerbatimChar"/>
        </w:rPr>
        <w:t xml:space="preserve">You are a clinical similarity scorer for major depressive disorder (MDD).</w:t>
      </w:r>
      <w:r>
        <w:br/>
      </w:r>
      <w:r>
        <w:rPr>
          <w:rStyle w:val="VerbatimChar"/>
        </w:rPr>
        <w:t xml:space="preserve">Compare two patient narratives that contain only structured EHR data from a fixed baseline window.</w:t>
      </w:r>
      <w:r>
        <w:br/>
      </w:r>
      <w:r>
        <w:br/>
      </w:r>
      <w:r>
        <w:rPr>
          <w:rStyle w:val="VerbatimChar"/>
        </w:rPr>
        <w:t xml:space="preserve">Judge similarity ONLY on factors that affect antidepressant response/tolerability.</w:t>
      </w:r>
      <w:r>
        <w:br/>
      </w:r>
      <w:r>
        <w:rPr>
          <w:rStyle w:val="VerbatimChar"/>
        </w:rPr>
        <w:t xml:space="preserve">Treat "Missing" as unknown (neutral). Treat "Absent" as truly absent. Do not infer beyond text.</w:t>
      </w:r>
      <w:r>
        <w:br/>
      </w:r>
      <w:r>
        <w:br/>
      </w:r>
      <w:r>
        <w:rPr>
          <w:rStyle w:val="VerbatimChar"/>
        </w:rPr>
        <w:t xml:space="preserve">Weight these dimensions when scoring (sum=100):</w:t>
      </w:r>
      <w:r>
        <w:br/>
      </w:r>
      <w:r>
        <w:rPr>
          <w:rStyle w:val="VerbatimChar"/>
        </w:rPr>
        <w:t xml:space="preserve">1. Baseline symptom phenotype (PHQ-9 subitems): 25 points</w:t>
      </w:r>
      <w:r>
        <w:br/>
      </w:r>
      <w:r>
        <w:rPr>
          <w:rStyle w:val="VerbatimChar"/>
        </w:rPr>
        <w:t xml:space="preserve">2. Psychiatric comorbidity &amp; threat/anxiety/trauma &amp; SUD/suicidality: 20 points</w:t>
      </w:r>
      <w:r>
        <w:br/>
      </w:r>
      <w:r>
        <w:rPr>
          <w:rStyle w:val="VerbatimChar"/>
        </w:rPr>
        <w:t xml:space="preserve">3. Medical/metabolic &amp; pain/NSAIDs: 20 points</w:t>
      </w:r>
      <w:r>
        <w:br/>
      </w:r>
      <w:r>
        <w:rPr>
          <w:rStyle w:val="VerbatimChar"/>
        </w:rPr>
        <w:t xml:space="preserve">4. Treatment exposure &amp; medication burden (polypharmacy, prior adequate trials, 3y complexity): 20 points</w:t>
      </w:r>
      <w:r>
        <w:br/>
      </w:r>
      <w:r>
        <w:rPr>
          <w:rStyle w:val="VerbatimChar"/>
        </w:rPr>
        <w:t xml:space="preserve">5. Social/functional access (no-show, marital/employment/SDOH): 10 points</w:t>
      </w:r>
      <w:r>
        <w:br/>
      </w:r>
      <w:r>
        <w:rPr>
          <w:rStyle w:val="VerbatimChar"/>
        </w:rPr>
        <w:t xml:space="preserve">6. Safety flags (contraindications): 5 points</w:t>
      </w:r>
      <w:r>
        <w:br/>
      </w:r>
      <w:r>
        <w:br/>
      </w:r>
      <w:r>
        <w:rPr>
          <w:rStyle w:val="VerbatimChar"/>
        </w:rPr>
        <w:t xml:space="preserve">Return JSON only.</w:t>
      </w:r>
      <w:r>
        <w:br/>
      </w:r>
      <w:r>
        <w:rPr>
          <w:rStyle w:val="VerbatimChar"/>
        </w:rPr>
        <w:t xml:space="preserve">Do not repeat items in lists.</w:t>
      </w:r>
      <w:r>
        <w:br/>
      </w:r>
      <w:r>
        <w:rPr>
          <w:rStyle w:val="VerbatimChar"/>
        </w:rPr>
        <w:t xml:space="preserve">Do NOT provide explanations, reasoning, or calculations. Output raw JSON only.</w:t>
      </w:r>
    </w:p>
    <w:bookmarkEnd w:id="34"/>
    <w:bookmarkStart w:id="35" w:name="Xf73ec07e52ee1b37d1c13b344560da300ff5391"/>
    <w:p>
      <w:pPr>
        <w:pStyle w:val="Heading2"/>
      </w:pPr>
      <w:r>
        <w:t xml:space="preserve">S1.3 User prompt and output schema (verbatim)</w:t>
      </w:r>
    </w:p>
    <w:p>
      <w:pPr>
        <w:pStyle w:val="FirstParagraph"/>
      </w:pPr>
      <w:r>
        <w:t xml:space="preserve">The two narratives are injected at</w:t>
      </w:r>
      <w:r>
        <w:t xml:space="preserve"> </w:t>
      </w:r>
      <w:r>
        <w:rPr>
          <w:rStyle w:val="VerbatimChar"/>
        </w:rPr>
        <w:t xml:space="preserve">{narrative_a}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{narrative_b}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INDEX PATIENT:</w:t>
      </w:r>
      <w:r>
        <w:br/>
      </w:r>
      <w:r>
        <w:rPr>
          <w:rStyle w:val="VerbatimChar"/>
        </w:rPr>
        <w:t xml:space="preserve">{narrative_a}</w:t>
      </w:r>
      <w:r>
        <w:br/>
      </w:r>
      <w:r>
        <w:br/>
      </w:r>
      <w:r>
        <w:rPr>
          <w:rStyle w:val="VerbatimChar"/>
        </w:rPr>
        <w:t xml:space="preserve">CANDIDATE PATIENT:</w:t>
      </w:r>
      <w:r>
        <w:br/>
      </w:r>
      <w:r>
        <w:rPr>
          <w:rStyle w:val="VerbatimChar"/>
        </w:rPr>
        <w:t xml:space="preserve">{narrative_b}</w:t>
      </w:r>
      <w:r>
        <w:br/>
      </w:r>
      <w:r>
        <w:br/>
      </w:r>
      <w:r>
        <w:rPr>
          <w:rStyle w:val="VerbatimChar"/>
        </w:rPr>
        <w:t xml:space="preserve">Limit "top_similarity_drivers" and "key_mismatches" to at most 5 items each. Return this JSON: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"overall_similarity": 0-100,</w:t>
      </w:r>
      <w:r>
        <w:br/>
      </w:r>
      <w:r>
        <w:rPr>
          <w:rStyle w:val="VerbatimChar"/>
        </w:rPr>
        <w:t xml:space="preserve">    "phenotype": 0-100,</w:t>
      </w:r>
      <w:r>
        <w:br/>
      </w:r>
      <w:r>
        <w:rPr>
          <w:rStyle w:val="VerbatimChar"/>
        </w:rPr>
        <w:t xml:space="preserve">    "psych_comorbidity": 0-100,</w:t>
      </w:r>
      <w:r>
        <w:br/>
      </w:r>
      <w:r>
        <w:rPr>
          <w:rStyle w:val="VerbatimChar"/>
        </w:rPr>
        <w:t xml:space="preserve">    "metabolic_pain": 0-100,</w:t>
      </w:r>
      <w:r>
        <w:br/>
      </w:r>
      <w:r>
        <w:rPr>
          <w:rStyle w:val="VerbatimChar"/>
        </w:rPr>
        <w:t xml:space="preserve">    "treatment_burden": 0-100,</w:t>
      </w:r>
      <w:r>
        <w:br/>
      </w:r>
      <w:r>
        <w:rPr>
          <w:rStyle w:val="VerbatimChar"/>
        </w:rPr>
        <w:t xml:space="preserve">    "social_functional": 0-100,</w:t>
      </w:r>
      <w:r>
        <w:br/>
      </w:r>
      <w:r>
        <w:rPr>
          <w:rStyle w:val="VerbatimChar"/>
        </w:rPr>
        <w:t xml:space="preserve">    "safety": 0-100,</w:t>
      </w:r>
      <w:r>
        <w:br/>
      </w:r>
      <w:r>
        <w:rPr>
          <w:rStyle w:val="VerbatimChar"/>
        </w:rPr>
        <w:t xml:space="preserve">    "top_similarity_drivers": ["driver 1", "...up to 5"],</w:t>
      </w:r>
      <w:r>
        <w:br/>
      </w:r>
      <w:r>
        <w:rPr>
          <w:rStyle w:val="VerbatimChar"/>
        </w:rPr>
        <w:t xml:space="preserve">    "key_mismatches": ["mismatch 1", "...up to 5"]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Scoring rules:</w:t>
      </w:r>
      <w:r>
        <w:br/>
      </w:r>
      <w:r>
        <w:rPr>
          <w:rStyle w:val="VerbatimChar"/>
        </w:rPr>
        <w:t xml:space="preserve">- Same band (e.g., NSAID 0 vs 1) = small penalty; different band (0 vs &gt;=2) = large penalty.</w:t>
      </w:r>
      <w:r>
        <w:br/>
      </w:r>
      <w:r>
        <w:rPr>
          <w:rStyle w:val="VerbatimChar"/>
        </w:rPr>
        <w:t xml:space="preserve">- Reward matches on polypharmacy, pain/NSAIDs, anxiety/fatigue most.</w:t>
      </w:r>
      <w:r>
        <w:br/>
      </w:r>
      <w:r>
        <w:rPr>
          <w:rStyle w:val="VerbatimChar"/>
        </w:rPr>
        <w:t xml:space="preserve">- If a dimension has 'Missing' data, strictly output the value 0 for that score.</w:t>
      </w:r>
    </w:p>
    <w:bookmarkEnd w:id="35"/>
    <w:bookmarkStart w:id="39" w:name="s1.4-worked-examples"/>
    <w:p>
      <w:pPr>
        <w:pStyle w:val="Heading2"/>
      </w:pPr>
      <w:r>
        <w:t xml:space="preserve">S1.4 Worked examples</w:t>
      </w:r>
    </w:p>
    <w:p>
      <w:pPr>
        <w:pStyle w:val="FirstParagraph"/>
      </w:pPr>
      <w:r>
        <w:t xml:space="preserve">The examples below come from the extremes of the judged distribution across the</w:t>
      </w:r>
      <w:r>
        <w:t xml:space="preserve"> </w:t>
      </w:r>
      <w:r>
        <w:t xml:space="preserve">primary</w:t>
      </w:r>
      <w:r>
        <w:t xml:space="preserve"> </w:t>
      </w:r>
      <w:r>
        <w:rPr>
          <w:rStyle w:val="VerbatimChar"/>
        </w:rPr>
        <w:t xml:space="preserve">Qwen3-Embedding-8B</w:t>
      </w:r>
      <w:r>
        <w:t xml:space="preserve"> </w:t>
      </w:r>
      <w:r>
        <w:t xml:space="preserve">encoder’s neighbourhoods. They are the five lowest- and</w:t>
      </w:r>
      <w:r>
        <w:t xml:space="preserve"> </w:t>
      </w:r>
      <w:r>
        <w:t xml:space="preserve">five highest-scoring anchor-neighbour pairs, extracted by</w:t>
      </w:r>
      <w:r>
        <w:t xml:space="preserve"> </w:t>
      </w:r>
      <w:r>
        <w:rPr>
          <w:rStyle w:val="VerbatimChar"/>
        </w:rPr>
        <w:t xml:space="preserve">scripts/pipeline/neighbors/llm_similarity_audit.py</w:t>
      </w:r>
      <w:r>
        <w:t xml:space="preserve"> </w:t>
      </w:r>
      <w:r>
        <w:t xml:space="preserve">and written in full to</w:t>
      </w:r>
      <w:r>
        <w:t xml:space="preserve"> </w:t>
      </w:r>
      <w:r>
        <w:rPr>
          <w:rStyle w:val="VerbatimChar"/>
        </w:rPr>
        <w:t xml:space="preserve">results/Qwen-Qwen3-Embedding-8B/google_medgemma-27b-text-it/llm_audit/judgement_{id_a}_{id_b}.txt</w:t>
      </w:r>
      <w:r>
        <w:t xml:space="preserve">.</w:t>
      </w:r>
      <w:r>
        <w:t xml:space="preserve"> </w:t>
      </w:r>
      <w:r>
        <w:t xml:space="preserve">On the current run the five lowest all scored 25 and the five highest scored 98 to 100.</w:t>
      </w:r>
      <w:r>
        <w:t xml:space="preserve"> </w:t>
      </w:r>
      <w:r>
        <w:t xml:space="preserve">Two of each are reproduced here in full and the remaining responses are shown as JSON</w:t>
      </w:r>
      <w:r>
        <w:t xml:space="preserve"> </w:t>
      </w:r>
      <w:r>
        <w:t xml:space="preserve">only.</w:t>
      </w:r>
    </w:p>
    <w:p>
      <w:pPr>
        <w:pStyle w:val="BodyText"/>
      </w:pPr>
      <w:r>
        <w:t xml:space="preserve">Neither band admits a meaningful internal ranking, so the examples are labelled</w:t>
      </w:r>
      <w:r>
        <w:t xml:space="preserve"> </w:t>
      </w:r>
      <w:r>
        <w:rPr>
          <w:i/>
          <w:iCs/>
        </w:rPr>
        <w:t xml:space="preserve">low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top-band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“lowest”</w:t>
      </w:r>
      <w:r>
        <w:t xml:space="preserve"> </w:t>
      </w:r>
      <w:r>
        <w:t xml:space="preserve">and</w:t>
      </w:r>
      <w:r>
        <w:t xml:space="preserve"> </w:t>
      </w:r>
      <w:r>
        <w:t xml:space="preserve">“second-lowest”</w:t>
      </w:r>
      <w:r>
        <w:t xml:space="preserve">. At the bottom all five pairs</w:t>
      </w:r>
      <w:r>
        <w:t xml:space="preserve"> </w:t>
      </w:r>
      <w:r>
        <w:t xml:space="preserve">are tied at exactly 25. At the top the five are effectively tied at the ceiling. The</w:t>
      </w:r>
      <w:r>
        <w:t xml:space="preserve"> </w:t>
      </w:r>
      <w:r>
        <w:t xml:space="preserve">score-98 pair is reproduced in full because it is the cleanest near-duplicate, and a</w:t>
      </w:r>
      <w:r>
        <w:t xml:space="preserve"> </w:t>
      </w:r>
      <w:r>
        <w:t xml:space="preserve">score-100 pair follows to illustrate a sub-score artifact described in S1.5. That is a</w:t>
      </w:r>
      <w:r>
        <w:t xml:space="preserve"> </w:t>
      </w:r>
      <w:r>
        <w:t xml:space="preserve">choice of illustration rather than an ordering.</w:t>
      </w:r>
    </w:p>
    <w:bookmarkStart w:id="36" w:name="X78e4d388a49d4dedb31d93a162d4438fe0ed0b9"/>
    <w:p>
      <w:pPr>
        <w:pStyle w:val="Heading3"/>
      </w:pPr>
      <w:r>
        <w:t xml:space="preserve">Low-similarity example (score 25) — dissimilar patients</w:t>
      </w:r>
    </w:p>
    <w:p>
      <w:pPr>
        <w:pStyle w:val="BlockText"/>
      </w:pPr>
      <w:r>
        <w:rPr>
          <w:b/>
          <w:bCs/>
        </w:rPr>
        <w:t xml:space="preserve">Narrative A</w:t>
      </w:r>
      <w:r>
        <w:t xml:space="preserve"> </w:t>
      </w:r>
      <w:r>
        <w:t xml:space="preserve">— MDD (Single Episode, Unspecified); Female, 55, Divorced,</w:t>
      </w:r>
      <w:r>
        <w:t xml:space="preserve"> </w:t>
      </w:r>
      <w:r>
        <w:t xml:space="preserve">Spanish-preferring, never-smoker; no psychiatric comorbidity, no suicidality;</w:t>
      </w:r>
      <w:r>
        <w:t xml:space="preserve"> </w:t>
      </w:r>
      <w:r>
        <w:t xml:space="preserve">no medical comorbidity; 0 prior adequate AD trials; 0 active meds; no safety</w:t>
      </w:r>
      <w:r>
        <w:t xml:space="preserve"> </w:t>
      </w:r>
      <w:r>
        <w:t xml:space="preserve">flags.</w:t>
      </w:r>
    </w:p>
    <w:p>
      <w:pPr>
        <w:pStyle w:val="BlockText"/>
      </w:pPr>
      <w:r>
        <w:rPr>
          <w:b/>
          <w:bCs/>
        </w:rPr>
        <w:t xml:space="preserve">Narrative B</w:t>
      </w:r>
      <w:r>
        <w:t xml:space="preserve"> </w:t>
      </w:r>
      <w:r>
        <w:t xml:space="preserve">— MDD (Recurrent, Moderate); Male, 77, Married, heavy smoker;</w:t>
      </w:r>
      <w:r>
        <w:t xml:space="preserve"> </w:t>
      </w:r>
      <w:r>
        <w:t xml:space="preserve">anxiety, substance-use disorder (alcohol, nicotine), and insomnia present;</w:t>
      </w:r>
      <w:r>
        <w:t xml:space="preserve"> </w:t>
      </w:r>
      <w:r>
        <w:t xml:space="preserve">chronic pain, hyperlipidemia, thyroid disease; 2 prior SNRI trials, 346</w:t>
      </w:r>
      <w:r>
        <w:t xml:space="preserve"> </w:t>
      </w:r>
      <w:r>
        <w:t xml:space="preserve">benzodiazepine days, augmentation present; 3 active meds (buspirone,</w:t>
      </w:r>
      <w:r>
        <w:t xml:space="preserve"> </w:t>
      </w:r>
      <w:r>
        <w:t xml:space="preserve">diazepam, duloxetine).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"overall_similarity"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"phenotype"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"psych_comorbidity"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"metabolic_pain"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"treatment_burden"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"social_functional"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"safety"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"top_similarity_drivers"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"Absent suicide flag"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"Absent epilepsy"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"Absent uncontrolled hypertension"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"Absent psych inpatient days"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"Absent ED psych visits"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"key_mismatches"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"Presence of SUD/Anxiety/Insomnia in Index"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"Prior SNRI exposure in Index"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"Active medications at baseline in Index"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6"/>
    <w:bookmarkStart w:id="37" w:name="Xb677fb97d3193768f2ea60419d9e7157dfc213b"/>
    <w:p>
      <w:pPr>
        <w:pStyle w:val="Heading3"/>
      </w:pPr>
      <w:r>
        <w:t xml:space="preserve">Top-band example (score 98) — near-duplicate patients</w:t>
      </w:r>
    </w:p>
    <w:p>
      <w:pPr>
        <w:pStyle w:val="BlockText"/>
      </w:pPr>
      <w:r>
        <w:rPr>
          <w:b/>
          <w:bCs/>
        </w:rPr>
        <w:t xml:space="preserve">Narrative A</w:t>
      </w:r>
      <w:r>
        <w:t xml:space="preserve"> </w:t>
      </w:r>
      <w:r>
        <w:t xml:space="preserve">— MDD (Single Episode, Unspecified); Female, 68, Married,</w:t>
      </w:r>
      <w:r>
        <w:t xml:space="preserve"> </w:t>
      </w:r>
      <w:r>
        <w:t xml:space="preserve">never-smoker; anxiety present, no other psychiatric or medical comorbidity;</w:t>
      </w:r>
      <w:r>
        <w:t xml:space="preserve"> </w:t>
      </w:r>
      <w:r>
        <w:t xml:space="preserve">0 prior adequate AD trials; 0 active meds; uncontrolled hypertension; BMI and</w:t>
      </w:r>
      <w:r>
        <w:t xml:space="preserve"> </w:t>
      </w:r>
      <w:r>
        <w:t xml:space="preserve">blood pressure missing.</w:t>
      </w:r>
    </w:p>
    <w:p>
      <w:pPr>
        <w:pStyle w:val="BlockText"/>
      </w:pPr>
      <w:r>
        <w:rPr>
          <w:b/>
          <w:bCs/>
        </w:rPr>
        <w:t xml:space="preserve">Narrative B</w:t>
      </w:r>
      <w:r>
        <w:t xml:space="preserve"> </w:t>
      </w:r>
      <w:r>
        <w:t xml:space="preserve">— Identical on every clinical field; differs only in recorded</w:t>
      </w:r>
      <w:r>
        <w:t xml:space="preserve"> </w:t>
      </w:r>
      <w:r>
        <w:t xml:space="preserve">religion (Missing vs Non-Denominational) and index timing (MDD-to-anchor gap</w:t>
      </w:r>
      <w:r>
        <w:t xml:space="preserve"> </w:t>
      </w:r>
      <w:r>
        <w:t xml:space="preserve">40 vs 0 days).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"overall_similarity"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"phenotype"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"psych_comorbidity"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"metabolic_pain"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"treatment_burden"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"social_functional"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"safety"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"top_similarity_drivers"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"Age 68"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"Female"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"Married"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"Anxiety Present"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 Prior AD Trials"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"key_mismatches"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bookmarkEnd w:id="37"/>
    <w:bookmarkStart w:id="38" w:name="additional-responses-json-only"/>
    <w:p>
      <w:pPr>
        <w:pStyle w:val="Heading3"/>
      </w:pPr>
      <w:r>
        <w:t xml:space="preserve">Additional responses (JSON only)</w:t>
      </w:r>
    </w:p>
    <w:p>
      <w:pPr>
        <w:pStyle w:val="FirstParagraph"/>
      </w:pPr>
      <w:r>
        <w:t xml:space="preserve">A second low-similarity example, scored 25. The index patient has severe recurrent MDD</w:t>
      </w:r>
      <w:r>
        <w:t xml:space="preserve"> </w:t>
      </w:r>
      <w:r>
        <w:t xml:space="preserve">with anxiety, adjustment disorder, PTSD and a substance-use disorder. The candidate has</w:t>
      </w:r>
      <w:r>
        <w:t xml:space="preserve"> </w:t>
      </w:r>
      <w:r>
        <w:t xml:space="preserve">dysthymia and no comorbidity.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"overall_similarity"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"phenotype"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"psych_comorbidity"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"metabolic_pain"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"treatment_burden"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"social_functional"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"safety"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"top_similarity_drivers"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"Absent Epilepsy"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"Absent Uncontrolled HTN"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"Absent NSAID burden"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"Absent Benzodiazepine use"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"Absent Hypnotic use"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"key_mismatches"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"Age difference (55 vs 84)"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"Comorbidity presence (Anxiety, PTSD, SUD, Chronic Pain vs Absent)"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"Treatment burden (Active meds 2 vs 0)"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 second top-band pair, scored 100. The two patients are demographically and clinically</w:t>
      </w:r>
      <w:r>
        <w:t xml:space="preserve"> </w:t>
      </w:r>
      <w:r>
        <w:t xml:space="preserve">identical: both female, 32, single, with no comorbidity and no prior trials. The overall</w:t>
      </w:r>
      <w:r>
        <w:t xml:space="preserve"> </w:t>
      </w:r>
      <w:r>
        <w:t xml:space="preserve">score of 100 was assigned despite a</w:t>
      </w:r>
      <w:r>
        <w:t xml:space="preserve"> </w:t>
      </w:r>
      <w:r>
        <w:rPr>
          <w:rStyle w:val="VerbatimChar"/>
        </w:rPr>
        <w:t xml:space="preserve">phenotype</w:t>
      </w:r>
      <w:r>
        <w:t xml:space="preserve"> </w:t>
      </w:r>
      <w:r>
        <w:t xml:space="preserve">sub-score of 0.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"overall_similarity"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"phenotype"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"psych_comorbidity"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"metabolic_pain"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"treatment_burden"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"social_functional"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"safety"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"top_similarity_drivers"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 prior adequate AD trials"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 benzodiazepine use"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 substance abuse"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 chronic pain"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 medical comorbidities"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"key_mismatches"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bookmarkEnd w:id="38"/>
    <w:bookmarkEnd w:id="39"/>
    <w:bookmarkStart w:id="40" w:name="s1.5-interpretation-and-caveats"/>
    <w:p>
      <w:pPr>
        <w:pStyle w:val="Heading2"/>
      </w:pPr>
      <w:r>
        <w:t xml:space="preserve">S1.5 Interpretation and caveats</w:t>
      </w:r>
    </w:p>
    <w:p>
      <w:pPr>
        <w:pStyle w:val="FirstParagraph"/>
      </w:pPr>
      <w:r>
        <w:t xml:space="preserve">The judge’s</w:t>
      </w:r>
      <w:r>
        <w:t xml:space="preserve"> </w:t>
      </w:r>
      <w:r>
        <w:rPr>
          <w:b/>
          <w:bCs/>
        </w:rPr>
        <w:t xml:space="preserve">overall</w:t>
      </w:r>
      <w:r>
        <w:t xml:space="preserve"> </w:t>
      </w:r>
      <w:r>
        <w:t xml:space="preserve">similarity behaved sensibly at the extremes. Near-duplicate</w:t>
      </w:r>
      <w:r>
        <w:t xml:space="preserve"> </w:t>
      </w:r>
      <w:r>
        <w:t xml:space="preserve">patients scored 98 and clinically dissimilar patients scored 25. The roughly 1.71</w:t>
      </w:r>
      <w:r>
        <w:t xml:space="preserve"> </w:t>
      </w:r>
      <w:r>
        <w:t xml:space="preserve">million cached judgements span 25 to 100, with a median of 55 and a modal band of 45 to</w:t>
      </w:r>
      <w:r>
        <w:t xml:space="preserve"> </w:t>
      </w:r>
      <w:r>
        <w:t xml:space="preserve">65, so the score is graded rather than degenerate.</w:t>
      </w:r>
    </w:p>
    <w:p>
      <w:pPr>
        <w:pStyle w:val="BodyText"/>
      </w:pPr>
      <w:r>
        <w:t xml:space="preserve">Parts of the rubric name evidence the narratives do not contain, and the prompt is</w:t>
      </w:r>
      <w:r>
        <w:t xml:space="preserve"> </w:t>
      </w:r>
      <w:r>
        <w:t xml:space="preserve">reproduced above exactly as it was run rather than corrected. Dimension 1 is headed</w:t>
      </w:r>
      <w:r>
        <w:t xml:space="preserve"> </w:t>
      </w:r>
      <w:r>
        <w:t xml:space="preserve">“Baseline symptom phenotype (PHQ-9 subitems)”</w:t>
      </w:r>
      <w:r>
        <w:t xml:space="preserve">, and no PHQ-9 item is recorded in this</w:t>
      </w:r>
      <w:r>
        <w:t xml:space="preserve"> </w:t>
      </w:r>
      <w:r>
        <w:t xml:space="preserve">extract or rendered in any narrative. Neither is any other symptom-severity instrument.</w:t>
      </w:r>
      <w:r>
        <w:t xml:space="preserve"> </w:t>
      </w:r>
      <w:r>
        <w:t xml:space="preserve">Dimension 5 names no-show behaviour, which is not a field in the narrative template,</w:t>
      </w:r>
      <w:r>
        <w:t xml:space="preserve"> </w:t>
      </w:r>
      <w:r>
        <w:t xml:space="preserve">although the marital, employment and social-determinant cues named beside it are.</w:t>
      </w:r>
      <w:r>
        <w:t xml:space="preserve"> </w:t>
      </w:r>
      <w:r>
        <w:t xml:space="preserve">Dimension 4 refers to</w:t>
      </w:r>
      <w:r>
        <w:t xml:space="preserve"> </w:t>
      </w:r>
      <w:r>
        <w:t xml:space="preserve">“3y complexity”</w:t>
      </w:r>
      <w:r>
        <w:t xml:space="preserve"> </w:t>
      </w:r>
      <w:r>
        <w:t xml:space="preserve">where the lookback window is two years. Dimensions</w:t>
      </w:r>
      <w:r>
        <w:t xml:space="preserve"> </w:t>
      </w:r>
      <w:r>
        <w:t xml:space="preserve">2, 3 and 6 carry 45 of the rubric’s 100 points and are fully supported by the</w:t>
      </w:r>
      <w:r>
        <w:t xml:space="preserve"> </w:t>
      </w:r>
      <w:r>
        <w:t xml:space="preserve">template.</w:t>
      </w:r>
    </w:p>
    <w:p>
      <w:pPr>
        <w:pStyle w:val="BodyText"/>
      </w:pPr>
      <w:r>
        <w:t xml:space="preserve">The judge did not treat the unsupported dimension as empty. Across a systematic 1-in-57</w:t>
      </w:r>
      <w:r>
        <w:t xml:space="preserve"> </w:t>
      </w:r>
      <w:r>
        <w:t xml:space="preserve">sample of the 1,710,849 cached judgements, the</w:t>
      </w:r>
      <w:r>
        <w:t xml:space="preserve"> </w:t>
      </w:r>
      <w:r>
        <w:rPr>
          <w:rStyle w:val="VerbatimChar"/>
        </w:rPr>
        <w:t xml:space="preserve">phenotype</w:t>
      </w:r>
      <w:r>
        <w:t xml:space="preserve"> </w:t>
      </w:r>
      <w:r>
        <w:t xml:space="preserve">sub-score is 0 for 31.4% of</w:t>
      </w:r>
      <w:r>
        <w:t xml:space="preserve"> </w:t>
      </w:r>
      <w:r>
        <w:t xml:space="preserve">pairs. Over the remainder it takes 15 distinct values with a median of 60 and correlates</w:t>
      </w:r>
      <w:r>
        <w:t xml:space="preserve"> </w:t>
      </w:r>
      <w:r>
        <w:t xml:space="preserve">0.58 with</w:t>
      </w:r>
      <w:r>
        <w:t xml:space="preserve"> </w:t>
      </w:r>
      <w:r>
        <w:rPr>
          <w:rStyle w:val="VerbatimChar"/>
        </w:rPr>
        <w:t xml:space="preserve">overall_similarity</w:t>
      </w:r>
      <w:r>
        <w:t xml:space="preserve">. The model was therefore not following the instruction to</w:t>
      </w:r>
      <w:r>
        <w:t xml:space="preserve"> </w:t>
      </w:r>
      <w:r>
        <w:t xml:space="preserve">output 0 for a dimension whose data are missing. It was scoring baseline phenotype from</w:t>
      </w:r>
      <w:r>
        <w:t xml:space="preserve"> </w:t>
      </w:r>
      <w:r>
        <w:t xml:space="preserve">the evidence actually present: the narrative’s MDD recurrence and severity coding and</w:t>
      </w:r>
      <w:r>
        <w:t xml:space="preserve"> </w:t>
      </w:r>
      <w:r>
        <w:t xml:space="preserve">its psychiatric flags. The mislabel is in the rubric’s wording rather than in the</w:t>
      </w:r>
      <w:r>
        <w:t xml:space="preserve"> </w:t>
      </w:r>
      <w:r>
        <w:t xml:space="preserve">resulting behaviour. For comparison, the sub-scores on the three fully supported</w:t>
      </w:r>
      <w:r>
        <w:t xml:space="preserve"> </w:t>
      </w:r>
      <w:r>
        <w:t xml:space="preserve">dimensions are 0 for 0.0%, 1.0% and 14.7% of pairs.</w:t>
      </w:r>
    </w:p>
    <w:p>
      <w:pPr>
        <w:pStyle w:val="BodyText"/>
      </w:pPr>
      <w:r>
        <w:t xml:space="preserve">None of this propagates into a reported number. Only</w:t>
      </w:r>
      <w:r>
        <w:t xml:space="preserve"> </w:t>
      </w:r>
      <w:r>
        <w:rPr>
          <w:rStyle w:val="VerbatimChar"/>
        </w:rPr>
        <w:t xml:space="preserve">overall_similarity</w:t>
      </w:r>
      <w:r>
        <w:t xml:space="preserve"> </w:t>
      </w:r>
      <w:r>
        <w:t xml:space="preserve">enters the</w:t>
      </w:r>
      <w:r>
        <w:t xml:space="preserve"> </w:t>
      </w:r>
      <w:r>
        <w:t xml:space="preserve">neighbour weighting, and that weighting is itself scored against observed outcomes the</w:t>
      </w:r>
      <w:r>
        <w:t xml:space="preserve"> </w:t>
      </w:r>
      <w:r>
        <w:t xml:space="preserve">judge never sees. A judgement made on thin evidence can therefore only degrade the</w:t>
      </w:r>
      <w:r>
        <w:t xml:space="preserve"> </w:t>
      </w:r>
      <w:r>
        <w:t xml:space="preserve">discrimination the main text reports.</w:t>
      </w:r>
    </w:p>
    <w:p>
      <w:pPr>
        <w:pStyle w:val="BodyText"/>
      </w:pPr>
      <w:r>
        <w:t xml:space="preserve">What the mislabel does bound is the generality of the main text’s null. The finding is</w:t>
      </w:r>
      <w:r>
        <w:t xml:space="preserve"> </w:t>
      </w:r>
      <w:r>
        <w:t xml:space="preserve">that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rubric added no discrimination over plain cosine weighting under nearest</w:t>
      </w:r>
      <w:r>
        <w:t xml:space="preserve"> </w:t>
      </w:r>
      <w:r>
        <w:t xml:space="preserve">retrieval. It is not that language-model clinical similarity judging cannot. Against</w:t>
      </w:r>
      <w:r>
        <w:t xml:space="preserve"> </w:t>
      </w:r>
      <w:r>
        <w:t xml:space="preserve">that, the same rubric did lift discrimination where retrieval was uninformative, from</w:t>
      </w:r>
      <w:r>
        <w:t xml:space="preserve"> </w:t>
      </w:r>
      <w:r>
        <w:t xml:space="preserve">0.495 to 0.517 under random retrieval and from 0.543 to 0.554 under subsampled</w:t>
      </w:r>
      <w:r>
        <w:t xml:space="preserve"> </w:t>
      </w:r>
      <w:r>
        <w:t xml:space="preserve">retrieval, so it carries clinical signal despite the mislabelled dimension.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per-dimension sub-scores are not a decomposition of the overall score</w:t>
      </w:r>
      <w:r>
        <w:t xml:space="preserve"> </w:t>
      </w:r>
      <w:r>
        <w:t xml:space="preserve">and should be read as illustrative only: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overall_similarity</w:t>
      </w:r>
      <w:r>
        <w:t xml:space="preserve"> </w:t>
      </w:r>
      <w:r>
        <w:t xml:space="preserve">is a holistic judgment and</w:t>
      </w:r>
      <w:r>
        <w:t xml:space="preserve"> </w:t>
      </w:r>
      <w:r>
        <w:rPr>
          <w:b/>
          <w:bCs/>
        </w:rPr>
        <w:t xml:space="preserve">not an aggregation of the six</w:t>
      </w:r>
      <w:r>
        <w:rPr>
          <w:b/>
          <w:bCs/>
        </w:rPr>
        <w:t xml:space="preserve"> </w:t>
      </w:r>
      <w:r>
        <w:rPr>
          <w:b/>
          <w:bCs/>
        </w:rPr>
        <w:t xml:space="preserve">sub-scores</w:t>
      </w:r>
      <w:r>
        <w:t xml:space="preserve">. Both low-similarity pairs score</w:t>
      </w:r>
      <w:r>
        <w:t xml:space="preserve"> </w:t>
      </w:r>
      <w:r>
        <w:rPr>
          <w:rStyle w:val="VerbatimChar"/>
        </w:rPr>
        <w:t xml:space="preserve">safety</w:t>
      </w:r>
      <w:r>
        <w:t xml:space="preserve"> </w:t>
      </w:r>
      <w:r>
        <w:t xml:space="preserve">100, because both patients</w:t>
      </w:r>
      <w:r>
        <w:t xml:space="preserve"> </w:t>
      </w:r>
      <w:r>
        <w:t xml:space="preserve">simply lack the safety flags, and both still carry an</w:t>
      </w:r>
      <w:r>
        <w:t xml:space="preserve"> </w:t>
      </w:r>
      <w:r>
        <w:rPr>
          <w:rStyle w:val="VerbatimChar"/>
        </w:rPr>
        <w:t xml:space="preserve">overall</w:t>
      </w:r>
      <w:r>
        <w:t xml:space="preserve"> </w:t>
      </w:r>
      <w:r>
        <w:t xml:space="preserve">of 25. A second</w:t>
      </w:r>
      <w:r>
        <w:t xml:space="preserve"> </w:t>
      </w:r>
      <w:r>
        <w:t xml:space="preserve">top-band pair scores</w:t>
      </w:r>
      <w:r>
        <w:t xml:space="preserve"> </w:t>
      </w:r>
      <w:r>
        <w:rPr>
          <w:rStyle w:val="VerbatimChar"/>
        </w:rPr>
        <w:t xml:space="preserve">phenotype</w:t>
      </w:r>
      <w:r>
        <w:t xml:space="preserve"> </w:t>
      </w:r>
      <w:r>
        <w:t xml:space="preserve">0 and carries an</w:t>
      </w:r>
      <w:r>
        <w:t xml:space="preserve"> </w:t>
      </w:r>
      <w:r>
        <w:rPr>
          <w:rStyle w:val="VerbatimChar"/>
        </w:rPr>
        <w:t xml:space="preserve">overall</w:t>
      </w:r>
      <w:r>
        <w:t xml:space="preserve"> </w:t>
      </w:r>
      <w:r>
        <w:t xml:space="preserve">of 100.</w:t>
      </w:r>
    </w:p>
    <w:p>
      <w:pPr>
        <w:pStyle w:val="Compact"/>
        <w:numPr>
          <w:ilvl w:val="0"/>
          <w:numId w:val="1005"/>
        </w:numPr>
      </w:pPr>
      <w:r>
        <w:t xml:space="preserve">The free-text</w:t>
      </w:r>
      <w:r>
        <w:t xml:space="preserve"> </w:t>
      </w:r>
      <w:r>
        <w:rPr>
          <w:rStyle w:val="VerbatimChar"/>
        </w:rPr>
        <w:t xml:space="preserve">top_similarity_drivers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key_mismatches</w:t>
      </w:r>
      <w:r>
        <w:t xml:space="preserve"> </w:t>
      </w:r>
      <w:r>
        <w:t xml:space="preserve">lists are unvalidated</w:t>
      </w:r>
      <w:r>
        <w:t xml:space="preserve"> </w:t>
      </w:r>
      <w:r>
        <w:t xml:space="preserve">descriptive annotations. They were broadly accurate in the sampled extremes, they are</w:t>
      </w:r>
      <w:r>
        <w:t xml:space="preserve"> </w:t>
      </w:r>
      <w:r>
        <w:t xml:space="preserve">not audited at scale, and they do not enter the prediction.</w:t>
      </w:r>
    </w:p>
    <w:p>
      <w:pPr>
        <w:pStyle w:val="FirstParagraph"/>
      </w:pPr>
      <w:r>
        <w:t xml:space="preserve">Because only</w:t>
      </w:r>
      <w:r>
        <w:t xml:space="preserve"> </w:t>
      </w:r>
      <w:r>
        <w:rPr>
          <w:rStyle w:val="VerbatimChar"/>
        </w:rPr>
        <w:t xml:space="preserve">overall_similarity</w:t>
      </w:r>
      <w:r>
        <w:t xml:space="preserve"> </w:t>
      </w:r>
      <w:r>
        <w:t xml:space="preserve">enters the neighbour weighting, these sub-score</w:t>
      </w:r>
      <w:r>
        <w:t xml:space="preserve"> </w:t>
      </w:r>
      <w:r>
        <w:t xml:space="preserve">artifacts do not propagate into the predictions. They are reported so that a reader of</w:t>
      </w:r>
      <w:r>
        <w:t xml:space="preserve"> </w:t>
      </w:r>
      <w:r>
        <w:t xml:space="preserve">the cached JSON is not misled into treating the six dimensions as a decomposition.</w:t>
      </w:r>
    </w:p>
    <w:bookmarkEnd w:id="40"/>
    <w:bookmarkStart w:id="44" w:name="s1.6-re-judging-under-a-corrected-rubric"/>
    <w:p>
      <w:pPr>
        <w:pStyle w:val="Heading2"/>
      </w:pPr>
      <w:r>
        <w:t xml:space="preserve">S1.6 Re-judging under a corrected rubric</w:t>
      </w:r>
    </w:p>
    <w:p>
      <w:pPr>
        <w:pStyle w:val="FirstParagraph"/>
      </w:pPr>
      <w:r>
        <w:t xml:space="preserve">Measuring what the model did with the mislabelled dimension is not the same test as</w:t>
      </w:r>
      <w:r>
        <w:t xml:space="preserve"> </w:t>
      </w:r>
      <w:r>
        <w:t xml:space="preserve">asking whether correcting the rubric would change the cached scores. S1.6 runs that</w:t>
      </w:r>
      <w:r>
        <w:t xml:space="preserve"> </w:t>
      </w:r>
      <w:r>
        <w:t xml:space="preserve">second test.</w:t>
      </w:r>
    </w:p>
    <w:p>
      <w:pPr>
        <w:pStyle w:val="BodyText"/>
      </w:pPr>
      <w:r>
        <w:rPr>
          <w:b/>
          <w:bCs/>
        </w:rPr>
        <w:t xml:space="preserve">The change.</w:t>
      </w:r>
      <w:r>
        <w:t xml:space="preserve"> </w:t>
      </w:r>
      <w:r>
        <w:t xml:space="preserve">Exactly one. Dimension 1,</w:t>
      </w:r>
      <w:r>
        <w:t xml:space="preserve"> </w:t>
      </w:r>
      <w:r>
        <w:t xml:space="preserve">“Baseline symptom phenotype (PHQ-9</w:t>
      </w:r>
      <w:r>
        <w:t xml:space="preserve"> </w:t>
      </w:r>
      <w:r>
        <w:t xml:space="preserve">subitems)”</w:t>
      </w:r>
      <w:r>
        <w:t xml:space="preserve">, was re-headed to name the evidence the narratives actually carry: MDD</w:t>
      </w:r>
      <w:r>
        <w:t xml:space="preserve"> </w:t>
      </w:r>
      <w:r>
        <w:t xml:space="preserve">recurrence and severity coding, and psychiatric comorbidity flags. Its weight and every</w:t>
      </w:r>
      <w:r>
        <w:t xml:space="preserve"> </w:t>
      </w:r>
      <w:r>
        <w:t xml:space="preserve">other dimension were left untouched. The instruction to output 0 for a dimension whose</w:t>
      </w:r>
      <w:r>
        <w:t xml:space="preserve"> </w:t>
      </w:r>
      <w:r>
        <w:t xml:space="preserve">data are missing was also left in place. The question is whether the model’s behaviour</w:t>
      </w:r>
      <w:r>
        <w:t xml:space="preserve"> </w:t>
      </w:r>
      <w:r>
        <w:t xml:space="preserve">changes when a dimension is correctly described, not whether it obeys that</w:t>
      </w:r>
      <w:r>
        <w:t xml:space="preserve"> </w:t>
      </w:r>
      <w:r>
        <w:t xml:space="preserve">instruction.</w:t>
      </w:r>
    </w:p>
    <w:p>
      <w:pPr>
        <w:pStyle w:val="BodyText"/>
      </w:pPr>
      <w:r>
        <w:rPr>
          <w:b/>
          <w:bCs/>
        </w:rPr>
        <w:t xml:space="preserve">The design.</w:t>
      </w:r>
      <w:r>
        <w:t xml:space="preserve"> </w:t>
      </w:r>
      <w:r>
        <w:t xml:space="preserve">A uniform random sample of 5,000 pairs was drawn from the 1,710,849</w:t>
      </w:r>
      <w:r>
        <w:t xml:space="preserve"> </w:t>
      </w:r>
      <w:r>
        <w:t xml:space="preserve">cached judgements and re-judged under the corrected rubric, with the same model, the</w:t>
      </w:r>
      <w:r>
        <w:t xml:space="preserve"> </w:t>
      </w:r>
      <w:r>
        <w:t xml:space="preserve">same decoding settings and the same seed. Each pair therefore has two scores: the cached</w:t>
      </w:r>
      <w:r>
        <w:t xml:space="preserve"> </w:t>
      </w:r>
      <w:r>
        <w:t xml:space="preserve">one and the re-judged one. The comparison is paired.</w:t>
      </w:r>
    </w:p>
    <w:p>
      <w:pPr>
        <w:pStyle w:val="BodyText"/>
      </w:pPr>
      <w:r>
        <w:rPr>
          <w:b/>
          <w:bCs/>
        </w:rPr>
        <w:t xml:space="preserve">The decision rule, fixed in advance.</w:t>
      </w:r>
      <w:r>
        <w:t xml:space="preserve"> </w:t>
      </w:r>
      <w:r>
        <w:t xml:space="preserve">Close agreement means the cached judgements</w:t>
      </w:r>
      <w:r>
        <w:t xml:space="preserve"> </w:t>
      </w:r>
      <w:r>
        <w:t xml:space="preserve">stand and the mislabel is cosmetic. Substantial disagreement means the cache would have</w:t>
      </w:r>
      <w:r>
        <w:t xml:space="preserve"> </w:t>
      </w:r>
      <w:r>
        <w:t xml:space="preserve">to be regenerated and every retrieval result recomputed.</w:t>
      </w:r>
    </w:p>
    <w:p>
      <w:pPr>
        <w:pStyle w:val="BodyText"/>
      </w:pPr>
      <w:r>
        <w:rPr>
          <w:b/>
          <w:bCs/>
        </w:rPr>
        <w:t xml:space="preserve">The result: the cached judgements stand.</w:t>
      </w:r>
      <w:r>
        <w:t xml:space="preserve"> </w:t>
      </w:r>
      <w:r>
        <w:t xml:space="preserve">Across the 5,000 re-judged pairs the two</w:t>
      </w:r>
      <w:r>
        <w:t xml:space="preserve"> </w:t>
      </w:r>
      <w:r>
        <w:t xml:space="preserve">scores agree closely. The correlation is high, the median absolute difference is small,</w:t>
      </w:r>
      <w:r>
        <w:t xml:space="preserve"> </w:t>
      </w:r>
      <w:r>
        <w:t xml:space="preserve">and the rank ordering that the neighbour weighting actually depends on is essentially</w:t>
      </w:r>
      <w:r>
        <w:t xml:space="preserve"> </w:t>
      </w:r>
      <w:r>
        <w:t xml:space="preserve">unchanged.</w:t>
      </w:r>
    </w:p>
    <w:p>
      <w:pPr>
        <w:pStyle w:val="BodyText"/>
      </w:pPr>
      <w:r>
        <w:t xml:space="preserve">The change is small, systematic, and in the direction the rubric edit predicts. Scores</w:t>
      </w:r>
      <w:r>
        <w:t xml:space="preserve"> </w:t>
      </w:r>
      <w:r>
        <w:t xml:space="preserve">move slightly, and they move consistently rather than randomly, which is what a</w:t>
      </w:r>
      <w:r>
        <w:t xml:space="preserve"> </w:t>
      </w:r>
      <w:r>
        <w:t xml:space="preserve">correctly re-described dimension should produce. A random scatter would have suggested</w:t>
      </w:r>
      <w:r>
        <w:t xml:space="preserve"> </w:t>
      </w:r>
      <w:r>
        <w:t xml:space="preserve">the judge was not reading the dimension heading at all.</w:t>
      </w:r>
    </w:p>
    <w:p>
      <w:pPr>
        <w:pStyle w:val="BodyText"/>
      </w:pPr>
      <w:r>
        <w:t xml:space="preserve">Two incidental confirmations fall out of the same run. The</w:t>
      </w:r>
      <w:r>
        <w:t xml:space="preserve"> </w:t>
      </w:r>
      <w:r>
        <w:rPr>
          <w:rStyle w:val="VerbatimChar"/>
        </w:rPr>
        <w:t xml:space="preserve">phenotype</w:t>
      </w:r>
      <w:r>
        <w:t xml:space="preserve"> </w:t>
      </w:r>
      <w:r>
        <w:t xml:space="preserve">sub-score is 0</w:t>
      </w:r>
      <w:r>
        <w:t xml:space="preserve"> </w:t>
      </w:r>
      <w:r>
        <w:t xml:space="preserve">for 30.5% of these pairs under the corrected rubric, against 31.4% in the systematic</w:t>
      </w:r>
      <w:r>
        <w:t xml:space="preserve"> </w:t>
      </w:r>
      <w:r>
        <w:t xml:space="preserve">sample under the original, so the model was already scoring the dimension from available</w:t>
      </w:r>
      <w:r>
        <w:t xml:space="preserve"> </w:t>
      </w:r>
      <w:r>
        <w:t xml:space="preserve">evidence. And the free-text driver lists remain broadly accurate on inspection, which is</w:t>
      </w:r>
      <w:r>
        <w:t xml:space="preserve"> </w:t>
      </w:r>
      <w:r>
        <w:t xml:space="preserve">the same unaudited impression recorded in S1.5.</w:t>
      </w:r>
    </w:p>
    <w:p>
      <w:pPr>
        <w:pStyle w:val="BodyText"/>
      </w:pPr>
      <w:r>
        <w:rPr>
          <w:b/>
          <w:bCs/>
        </w:rPr>
        <w:t xml:space="preserve">Decision.</w:t>
      </w:r>
      <w:r>
        <w:t xml:space="preserve"> </w:t>
      </w:r>
      <w:r>
        <w:t xml:space="preserve">The pre-specified rule is met on the agreement side, so the 1,710,849</w:t>
      </w:r>
      <w:r>
        <w:t xml:space="preserve"> </w:t>
      </w:r>
      <w:r>
        <w:t xml:space="preserve">cached judgements stand and no retrieval result was recomputed. The rubric is reported</w:t>
      </w:r>
      <w:r>
        <w:t xml:space="preserve"> </w:t>
      </w:r>
      <w:r>
        <w:t xml:space="preserve">as it was run, with this section as the record of why that is defensible rather than</w:t>
      </w:r>
      <w:r>
        <w:t xml:space="preserve"> </w:t>
      </w:r>
      <w:r>
        <w:t xml:space="preserve">merely convenient.</w:t>
      </w:r>
    </w:p>
    <w:p>
      <w:pPr>
        <w:pStyle w:val="BodyText"/>
      </w:pPr>
      <w:r>
        <w:rPr>
          <w:b/>
          <w:bCs/>
          <w:i/>
          <w:iCs/>
        </w:rPr>
        <w:t xml:space="preserve">Figure S8.</w:t>
      </w:r>
      <w:r>
        <w:rPr>
          <w:i/>
          <w:iCs/>
        </w:rPr>
        <w:t xml:space="preserve"> </w:t>
      </w:r>
      <w:r>
        <w:rPr>
          <w:i/>
          <w:iCs/>
        </w:rPr>
        <w:t xml:space="preserve">Cached against corrected judgements over 5,000 randomly sampled</w:t>
      </w:r>
      <w:r>
        <w:rPr>
          <w:i/>
          <w:iCs/>
        </w:rPr>
        <w:t xml:space="preserve"> </w:t>
      </w:r>
      <w:r>
        <w:rPr>
          <w:i/>
          <w:iCs/>
        </w:rPr>
        <w:t xml:space="preserve">pairs. Left: joint distribution of overall similarity under the two rubrics, with</w:t>
      </w:r>
      <w:r>
        <w:rPr>
          <w:i/>
          <w:iCs/>
        </w:rPr>
        <w:t xml:space="preserve"> </w:t>
      </w:r>
      <w:r>
        <w:rPr>
          <w:i/>
          <w:iCs/>
        </w:rPr>
        <w:t xml:space="preserve">the identity line. Right: the distribution of their difference, corrected minus</w:t>
      </w:r>
      <w:r>
        <w:rPr>
          <w:i/>
          <w:iCs/>
        </w:rPr>
        <w:t xml:space="preserve"> </w:t>
      </w:r>
      <w:r>
        <w:rPr>
          <w:i/>
          <w:iCs/>
        </w:rPr>
        <w:t xml:space="preserve">cached.</w:t>
      </w:r>
    </w:p>
    <w:p>
      <w:pPr>
        <w:pStyle w:val="BodyText"/>
      </w:pPr>
      <w:r>
        <w:drawing>
          <wp:inline>
            <wp:extent cx="5486400" cy="2096408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../results/review/judge_prompt/judge_prompt_agreement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96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End w:id="45"/>
    <w:bookmarkStart w:id="64" w:name="Xfd115cb917048191323d489a5dc10d4cf06a765"/>
    <w:p>
      <w:pPr>
        <w:pStyle w:val="Heading1"/>
      </w:pPr>
      <w:r>
        <w:t xml:space="preserve">Supplement S2. Effective dimensionality of the embedded representation</w:t>
      </w:r>
    </w:p>
    <w:p>
      <w:pPr>
        <w:pStyle w:val="FirstParagraph"/>
      </w:pPr>
      <w:r>
        <w:t xml:space="preserve">Individual embedding dimensions carry no clinical meaning, so the per-feature</w:t>
      </w:r>
      <w:r>
        <w:t xml:space="preserve"> </w:t>
      </w:r>
      <w:r>
        <w:t xml:space="preserve">interpretability available for the feature representation in main-text Figure 7 does not</w:t>
      </w:r>
      <w:r>
        <w:t xml:space="preserve"> </w:t>
      </w:r>
      <w:r>
        <w:t xml:space="preserve">transfer to a 4,096-dimensional embedded representation. What can be characterised</w:t>
      </w:r>
      <w:r>
        <w:t xml:space="preserve"> </w:t>
      </w:r>
      <w:r>
        <w:t xml:space="preserve">instead is</w:t>
      </w:r>
      <w:r>
        <w:t xml:space="preserve"> </w:t>
      </w:r>
      <w:r>
        <w:rPr>
          <w:i/>
          <w:iCs/>
        </w:rPr>
        <w:t xml:space="preserve">how many</w:t>
      </w:r>
      <w:r>
        <w:t xml:space="preserve"> </w:t>
      </w:r>
      <w:r>
        <w:t xml:space="preserve">latent dimensions carry the predictive signal. Three complementary</w:t>
      </w:r>
      <w:r>
        <w:t xml:space="preserve"> </w:t>
      </w:r>
      <w:r>
        <w:t xml:space="preserve">views are reported, all for the primary</w:t>
      </w:r>
      <w:r>
        <w:t xml:space="preserve"> </w:t>
      </w:r>
      <w:r>
        <w:rPr>
          <w:rStyle w:val="VerbatimChar"/>
        </w:rPr>
        <w:t xml:space="preserve">Qwen3-Embedding-8B</w:t>
      </w:r>
      <w:r>
        <w:t xml:space="preserve"> </w:t>
      </w:r>
      <w:r>
        <w:t xml:space="preserve">encoder on the held-out</w:t>
      </w:r>
      <w:r>
        <w:t xml:space="preserve"> </w:t>
      </w:r>
      <w:r>
        <w:t xml:space="preserve">test set.</w:t>
      </w:r>
    </w:p>
    <w:bookmarkStart w:id="46" w:name="Xdfaddef602461234f0bff60d86bc979355da7c4"/>
    <w:p>
      <w:pPr>
        <w:pStyle w:val="Heading2"/>
      </w:pPr>
      <w:r>
        <w:t xml:space="preserve">S2.1 Sparsity and cumulative built-in importance</w:t>
      </w:r>
    </w:p>
    <w:p>
      <w:pPr>
        <w:pStyle w:val="FirstParagraph"/>
      </w:pPr>
      <w:r>
        <w:t xml:space="preserve">The best logistic-regression fit used an elasticnet penalty, with</w:t>
      </w:r>
      <w:r>
        <w:t xml:space="preserve"> </w:t>
      </w:r>
      <w:r>
        <w:rPr>
          <w:rStyle w:val="VerbatimChar"/>
        </w:rPr>
        <w:t xml:space="preserve">l1_ratio</w:t>
      </w:r>
      <w:r>
        <w:t xml:space="preserve"> </w:t>
      </w:r>
      <w:r>
        <w:t xml:space="preserve">0.25 and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0.01, that zeroed most coefficients. Only 385 of the 4,096 dimensions carry non-zero</w:t>
      </w:r>
      <w:r>
        <w:t xml:space="preserve"> </w:t>
      </w:r>
      <w:r>
        <w:t xml:space="preserve">weight, so the signal is concentrated in a sparse subset. Ranking dimensions by each</w:t>
      </w:r>
      <w:r>
        <w:t xml:space="preserve"> </w:t>
      </w:r>
      <w:r>
        <w:t xml:space="preserve">fitted classifier’s native importance and accumulating the mass confirms that</w:t>
      </w:r>
      <w:r>
        <w:t xml:space="preserve"> </w:t>
      </w:r>
      <w:r>
        <w:t xml:space="preserve">concentration. For logistic regression, 80% of the coefficient magnitude falls in</w:t>
      </w:r>
      <w:r>
        <w:t xml:space="preserve"> </w:t>
      </w:r>
      <w:r>
        <w:t xml:space="preserve">roughly 179 of the 4,096 dimensions and 90% in roughly 236, as main-text Figure 8 shows.</w:t>
      </w:r>
      <w:r>
        <w:t xml:space="preserve"> </w:t>
      </w:r>
      <w:r>
        <w:t xml:space="preserve">TRD-relevant information is therefore carried by a modest subset of embedding dimensions</w:t>
      </w:r>
      <w:r>
        <w:t xml:space="preserve"> </w:t>
      </w:r>
      <w:r>
        <w:t xml:space="preserve">rather than spread across the space.</w:t>
      </w:r>
    </w:p>
    <w:bookmarkEnd w:id="46"/>
    <w:bookmarkStart w:id="50" w:name="s2.2-cumulative-univariate-correlation"/>
    <w:p>
      <w:pPr>
        <w:pStyle w:val="Heading2"/>
      </w:pPr>
      <w:r>
        <w:t xml:space="preserve">S2.2 Cumulative univariate correlation</w:t>
      </w:r>
    </w:p>
    <w:p>
      <w:pPr>
        <w:pStyle w:val="FirstParagraph"/>
      </w:pPr>
      <w:r>
        <w:t xml:space="preserve">An importance ranking is model-specific. As a model-agnostic check we ranked dimensions</w:t>
      </w:r>
      <w:r>
        <w:t xml:space="preserve"> </w:t>
      </w:r>
      <w:r>
        <w:t xml:space="preserve">by the absolute Spearman correlation between each dimension and the outcome, and</w:t>
      </w:r>
      <w:r>
        <w:t xml:space="preserve"> </w:t>
      </w:r>
      <w:r>
        <w:t xml:space="preserve">overlaid that against per-classifier curves ranking by the correlation between each</w:t>
      </w:r>
      <w:r>
        <w:t xml:space="preserve"> </w:t>
      </w:r>
      <w:r>
        <w:t xml:space="preserve">dimension and the predicted risk. Divergence between the two would flag dimensions a</w:t>
      </w:r>
      <w:r>
        <w:t xml:space="preserve"> </w:t>
      </w:r>
      <w:r>
        <w:t xml:space="preserve">classifier weights through regularisation or interactions that a univariate ranking</w:t>
      </w:r>
      <w:r>
        <w:t xml:space="preserve"> </w:t>
      </w:r>
      <w:r>
        <w:t xml:space="preserve">cannot see.</w:t>
      </w:r>
    </w:p>
    <w:p>
      <w:pPr>
        <w:pStyle w:val="BodyText"/>
      </w:pPr>
      <w:r>
        <w:t xml:space="preserve">The model-agnostic curve remained diffuse, with many dimensions each weakly correlated</w:t>
      </w:r>
      <w:r>
        <w:t xml:space="preserve"> </w:t>
      </w:r>
      <w:r>
        <w:t xml:space="preserve">with the outcome. The elasticnet logistic-regression curve was far more concentrated, so</w:t>
      </w:r>
      <w:r>
        <w:t xml:space="preserve"> </w:t>
      </w:r>
      <w:r>
        <w:t xml:space="preserve">the regularisation is selecting a compact predictive subset from a broadly informative</w:t>
      </w:r>
      <w:r>
        <w:t xml:space="preserve"> </w:t>
      </w:r>
      <w:r>
        <w:t xml:space="preserve">space. Only the absolute correlation is used, because the sign of a correlation on an</w:t>
      </w:r>
      <w:r>
        <w:t xml:space="preserve"> </w:t>
      </w:r>
      <w:r>
        <w:t xml:space="preserve">unnamed latent dimension is not interpretable.</w:t>
      </w:r>
    </w:p>
    <w:p>
      <w:pPr>
        <w:pStyle w:val="BodyText"/>
      </w:pPr>
      <w:r>
        <w:drawing>
          <wp:inline>
            <wp:extent cx="5486400" cy="329184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../results/Qwen-Qwen3-Embedding-8B/google_medgemma-27b-text-it/feature_importance/feature_correlation_cumulative_EMBEDDED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  <w:i/>
          <w:iCs/>
        </w:rPr>
        <w:t xml:space="preserve">Figure S1.</w:t>
      </w:r>
      <w:r>
        <w:rPr>
          <w:i/>
          <w:iCs/>
        </w:rPr>
        <w:t xml:space="preserve"> </w:t>
      </w:r>
      <w:r>
        <w:rPr>
          <w:i/>
          <w:iCs/>
        </w:rPr>
        <w:t xml:space="preserve">Cumulative absolute univariate (Spearman) correlation. One</w:t>
      </w:r>
      <w:r>
        <w:rPr>
          <w:i/>
          <w:iCs/>
        </w:rPr>
        <w:t xml:space="preserve"> </w:t>
      </w:r>
      <w:r>
        <w:rPr>
          <w:i/>
          <w:iCs/>
        </w:rPr>
        <w:t xml:space="preserve">model-agnostic baseline curve ranks dimensions by the correlation between each dimension</w:t>
      </w:r>
      <w:r>
        <w:rPr>
          <w:i/>
          <w:iCs/>
        </w:rPr>
        <w:t xml:space="preserve"> </w:t>
      </w:r>
      <w:r>
        <w:rPr>
          <w:i/>
          <w:iCs/>
        </w:rPr>
        <w:t xml:space="preserve">and the outcome. The four per-classifier curves rank by the correlation between each</w:t>
      </w:r>
      <w:r>
        <w:rPr>
          <w:i/>
          <w:iCs/>
        </w:rPr>
        <w:t xml:space="preserve"> </w:t>
      </w:r>
      <w:r>
        <w:rPr>
          <w:i/>
          <w:iCs/>
        </w:rPr>
        <w:t xml:space="preserve">dimension and the predicted risk. The plot shows cumulative fraction of total</w:t>
      </w:r>
      <w:r>
        <w:rPr>
          <w:i/>
          <w:iCs/>
        </w:rPr>
        <w:t xml:space="preserve"> </w:t>
      </w:r>
      <w:r>
        <w:rPr>
          <w:i/>
          <w:iCs/>
        </w:rPr>
        <w:t xml:space="preserve">correlation mass against rank, with the K₈₀ and K₉₀ knees in the legend.</w:t>
      </w:r>
    </w:p>
    <w:bookmarkEnd w:id="50"/>
    <w:bookmarkStart w:id="63" w:name="s2.3-pca-k-discrimination-sweep"/>
    <w:p>
      <w:pPr>
        <w:pStyle w:val="Heading2"/>
      </w:pPr>
      <w:r>
        <w:t xml:space="preserve">S2.3 PCA-K discrimination sweep</w:t>
      </w:r>
    </w:p>
    <w:p>
      <w:pPr>
        <w:pStyle w:val="FirstParagraph"/>
      </w:pPr>
      <w:r>
        <w:t xml:space="preserve">To locate the geometric plateau, each classifier was retrained on the top K principal</w:t>
      </w:r>
      <w:r>
        <w:t xml:space="preserve"> </w:t>
      </w:r>
      <w:r>
        <w:t xml:space="preserve">components of the embedding and its held-out ROC AUC plotted against K. The sweep ran K</w:t>
      </w:r>
      <w:r>
        <w:t xml:space="preserve"> </w:t>
      </w:r>
      <w:r>
        <w:t xml:space="preserve">over 1, 2, 4, 8, 16, 32, 64, 128, 256, 512 and 1024. Discrimination rose steeply over</w:t>
      </w:r>
      <w:r>
        <w:t xml:space="preserve"> </w:t>
      </w:r>
      <w:r>
        <w:t xml:space="preserve">the first handful of components and then plateaued. No single low-dimensional projection</w:t>
      </w:r>
      <w:r>
        <w:t xml:space="preserve"> </w:t>
      </w:r>
      <w:r>
        <w:t xml:space="preserve">recovered full-rank performance, which is the same broadly-distributed-signal conclusion</w:t>
      </w:r>
      <w:r>
        <w:t xml:space="preserve"> </w:t>
      </w:r>
      <w:r>
        <w:t xml:space="preserve">the cumulative-importance and correlation curves reach.</w:t>
      </w:r>
    </w:p>
    <w:p>
      <w:pPr>
        <w:pStyle w:val="BodyText"/>
      </w:pPr>
      <w:r>
        <w:rPr>
          <w:b/>
          <w:bCs/>
        </w:rPr>
        <w:t xml:space="preserve">(A) Logistic regression</w:t>
      </w:r>
    </w:p>
    <w:p>
      <w:pPr>
        <w:pStyle w:val="BodyText"/>
      </w:pPr>
      <w:r>
        <w:drawing>
          <wp:inline>
            <wp:extent cx="5486400" cy="329184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../results/Qwen-Qwen3-Embedding-8B/google_medgemma-27b-text-it/feature_importance/feature_importance_pca_sweep_logistic_regression_EMBEDDED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(B) Random forest</w:t>
      </w:r>
    </w:p>
    <w:p>
      <w:pPr>
        <w:pStyle w:val="BodyText"/>
      </w:pPr>
      <w:r>
        <w:drawing>
          <wp:inline>
            <wp:extent cx="5486400" cy="329184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../results/Qwen-Qwen3-Embedding-8B/google_medgemma-27b-text-it/feature_importance/feature_importance_pca_sweep_random_forest_EMBEDDED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(C) Gradient boosting</w:t>
      </w:r>
    </w:p>
    <w:p>
      <w:pPr>
        <w:pStyle w:val="BodyText"/>
      </w:pPr>
      <w:r>
        <w:drawing>
          <wp:inline>
            <wp:extent cx="5486400" cy="329184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../results/Qwen-Qwen3-Embedding-8B/google_medgemma-27b-text-it/feature_importance/feature_importance_pca_sweep_gradient_boosting_EMBEDDED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(D) XGBoost</w:t>
      </w:r>
    </w:p>
    <w:p>
      <w:pPr>
        <w:pStyle w:val="BodyText"/>
      </w:pPr>
      <w:r>
        <w:drawing>
          <wp:inline>
            <wp:extent cx="5486400" cy="3291840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../results/Qwen-Qwen3-Embedding-8B/google_medgemma-27b-text-it/feature_importance/feature_importance_pca_sweep_xgboost_EMBEDDED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  <w:i/>
          <w:iCs/>
        </w:rPr>
        <w:t xml:space="preserve">Figure S2.</w:t>
      </w:r>
      <w:r>
        <w:rPr>
          <w:i/>
          <w:iCs/>
        </w:rPr>
        <w:t xml:space="preserve"> </w:t>
      </w:r>
      <w:r>
        <w:rPr>
          <w:i/>
          <w:iCs/>
        </w:rPr>
        <w:t xml:space="preserve">ROC AUC versus number of retained principal components, one</w:t>
      </w:r>
      <w:r>
        <w:rPr>
          <w:i/>
          <w:iCs/>
        </w:rPr>
        <w:t xml:space="preserve"> </w:t>
      </w:r>
      <w:r>
        <w:rPr>
          <w:i/>
          <w:iCs/>
        </w:rPr>
        <w:t xml:space="preserve">panel per classifier: (A) logistic regression, (B) random forest,</w:t>
      </w:r>
      <w:r>
        <w:rPr>
          <w:i/>
          <w:iCs/>
        </w:rPr>
        <w:t xml:space="preserve"> </w:t>
      </w:r>
      <w:r>
        <w:rPr>
          <w:i/>
          <w:iCs/>
        </w:rPr>
        <w:t xml:space="preserve">(C) gradient boosting, (D) XGBoost. The plateau marks the effective number of</w:t>
      </w:r>
      <w:r>
        <w:rPr>
          <w:i/>
          <w:iCs/>
        </w:rPr>
        <w:t xml:space="preserve"> </w:t>
      </w:r>
      <w:r>
        <w:rPr>
          <w:i/>
          <w:iCs/>
        </w:rPr>
        <w:t xml:space="preserve">principal directions beyond which added components do not improve</w:t>
      </w:r>
      <w:r>
        <w:rPr>
          <w:i/>
          <w:iCs/>
        </w:rPr>
        <w:t xml:space="preserve"> </w:t>
      </w:r>
      <w:r>
        <w:rPr>
          <w:i/>
          <w:iCs/>
        </w:rPr>
        <w:t xml:space="preserve">discrimination.</w:t>
      </w:r>
    </w:p>
    <w:bookmarkEnd w:id="63"/>
    <w:bookmarkEnd w:id="64"/>
    <w:bookmarkStart w:id="71" w:name="Xe1221c44df3474de5c828d6b38cb062b19e1819"/>
    <w:p>
      <w:pPr>
        <w:pStyle w:val="Heading1"/>
      </w:pPr>
      <w:r>
        <w:t xml:space="preserve">Supplement S3. Precision–recall performance</w:t>
      </w:r>
    </w:p>
    <w:p>
      <w:pPr>
        <w:pStyle w:val="FirstParagraph"/>
      </w:pPr>
      <w:r>
        <w:t xml:space="preserve">The main text reports discrimination as ROC AUC, and under this cohort’s roughly 5:1</w:t>
      </w:r>
      <w:r>
        <w:t xml:space="preserve"> </w:t>
      </w:r>
      <w:r>
        <w:t xml:space="preserve">class imbalance that measure can flatter apparent performance. With 17.5% of patients</w:t>
      </w:r>
      <w:r>
        <w:t xml:space="preserve"> </w:t>
      </w:r>
      <w:r>
        <w:t xml:space="preserve">TRD-positive, the true-negative-dominated specificity term stays high however well or</w:t>
      </w:r>
      <w:r>
        <w:t xml:space="preserve"> </w:t>
      </w:r>
      <w:r>
        <w:t xml:space="preserve">badly the positive class is ranked. The area under the precision-recall curve is the</w:t>
      </w:r>
      <w:r>
        <w:t xml:space="preserve"> </w:t>
      </w:r>
      <w:r>
        <w:t xml:space="preserve">complementary view, because its no-skill baseline is the positive rate itself rather</w:t>
      </w:r>
      <w:r>
        <w:t xml:space="preserve"> </w:t>
      </w:r>
      <w:r>
        <w:t xml:space="preserve">than 0.5. It exposes the precision cost of capturing TRD cases, which is the quantity a</w:t>
      </w:r>
      <w:r>
        <w:t xml:space="preserve"> </w:t>
      </w:r>
      <w:r>
        <w:t xml:space="preserve">clinician would actually feel.</w:t>
      </w:r>
    </w:p>
    <w:p>
      <w:pPr>
        <w:pStyle w:val="BodyText"/>
      </w:pPr>
      <w:r>
        <w:t xml:space="preserve">Precision-recall performance tracked discrimination closely and stayed modest for every</w:t>
      </w:r>
      <w:r>
        <w:t xml:space="preserve"> </w:t>
      </w:r>
      <w:r>
        <w:t xml:space="preserve">model in the comparison. At this base rate, high recall on the TRD proxy necessarily</w:t>
      </w:r>
      <w:r>
        <w:t xml:space="preserve"> </w:t>
      </w:r>
      <w:r>
        <w:t xml:space="preserve">forces low precision, and no combination of representation and classifier escaped that</w:t>
      </w:r>
      <w:r>
        <w:t xml:space="preserve"> </w:t>
      </w:r>
      <w:r>
        <w:t xml:space="preserve">trade. No clinical role is inferred from these values, and the main text’s Discussion</w:t>
      </w:r>
      <w:r>
        <w:t xml:space="preserve"> </w:t>
      </w:r>
      <w:r>
        <w:t xml:space="preserve">records that temporal and external validation are prerequisites for any such claim.</w:t>
      </w:r>
    </w:p>
    <w:p>
      <w:pPr>
        <w:pStyle w:val="BodyText"/>
      </w:pPr>
      <w:r>
        <w:rPr>
          <w:b/>
          <w:bCs/>
          <w:i/>
          <w:iCs/>
        </w:rPr>
        <w:t xml:space="preserve">Table S1.</w:t>
      </w:r>
      <w:r>
        <w:rPr>
          <w:i/>
          <w:iCs/>
        </w:rPr>
        <w:t xml:space="preserve"> </w:t>
      </w:r>
      <w:r>
        <w:rPr>
          <w:i/>
          <w:iCs/>
        </w:rPr>
        <w:t xml:space="preserve">AUPRC of the four classifiers on each representation (held-out</w:t>
      </w:r>
      <w:r>
        <w:rPr>
          <w:i/>
          <w:iCs/>
        </w:rPr>
        <w:t xml:space="preserve"> </w:t>
      </w:r>
      <w:r>
        <w:rPr>
          <w:i/>
          <w:iCs/>
        </w:rPr>
        <w:t xml:space="preserve">test set). No-skill baseline = 0.175 (the positive rate).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Representation</w:t>
            </w:r>
          </w:p>
        </w:tc>
        <w:tc>
          <w:tcPr/>
          <w:p>
            <w:pPr>
              <w:pStyle w:val="Compact"/>
            </w:pPr>
            <w:r>
              <w:t xml:space="preserve">Classifier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AUPRC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EMBEDDED</w:t>
            </w:r>
          </w:p>
        </w:tc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EMBEDDED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EMBEDDED</w:t>
            </w:r>
          </w:p>
        </w:tc>
        <w:tc>
          <w:tcPr/>
          <w:p>
            <w:pPr>
              <w:pStyle w:val="Compact"/>
            </w:pPr>
            <w:r>
              <w:t xml:space="preserve">Gradient boosting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EMBEDDED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Gradient boosting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</w:t>
            </w:r>
          </w:p>
        </w:tc>
      </w:tr>
    </w:tbl>
    <w:p>
      <w:pPr>
        <w:pStyle w:val="BodyText"/>
      </w:pPr>
      <w:r>
        <w:rPr>
          <w:b/>
          <w:bCs/>
          <w:i/>
          <w:iCs/>
        </w:rPr>
        <w:t xml:space="preserve">Table S2.</w:t>
      </w:r>
      <w:r>
        <w:rPr>
          <w:i/>
          <w:iCs/>
        </w:rPr>
        <w:t xml:space="preserve"> </w:t>
      </w:r>
      <w:r>
        <w:rPr>
          <w:i/>
          <w:iCs/>
        </w:rPr>
        <w:t xml:space="preserve">Embedded logistic-regression AUPRC by encoder (held-out test</w:t>
      </w:r>
      <w:r>
        <w:rPr>
          <w:i/>
          <w:iCs/>
        </w:rPr>
        <w:t xml:space="preserve"> </w:t>
      </w:r>
      <w:r>
        <w:rPr>
          <w:i/>
          <w:iCs/>
        </w:rPr>
        <w:t xml:space="preserve">set). No-skill baseline = 0.175.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Encoder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AUPRC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bge-small-en-v1.5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bge-en-icl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Qwen3-Embedding-4B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Qwen3-Embedding-8B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</w:t>
            </w:r>
          </w:p>
        </w:tc>
      </w:tr>
    </w:tbl>
    <w:p>
      <w:pPr>
        <w:pStyle w:val="BodyText"/>
      </w:pPr>
      <w:r>
        <w:rPr>
          <w:b/>
          <w:bCs/>
        </w:rPr>
        <w:t xml:space="preserve">(A) Embedded logistic regression</w:t>
      </w:r>
    </w:p>
    <w:p>
      <w:pPr>
        <w:pStyle w:val="BodyText"/>
      </w:pPr>
      <w:r>
        <w:drawing>
          <wp:inline>
            <wp:extent cx="5486400" cy="2962656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../results/Qwen-Qwen3-Embedding-8B/google_medgemma-27b-text-it/pr_curves/pr_curve_logistic_regression_EMBEDDED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62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(B) Feature-vector XGBoost</w:t>
      </w:r>
    </w:p>
    <w:p>
      <w:pPr>
        <w:pStyle w:val="BodyText"/>
      </w:pPr>
      <w:r>
        <w:drawing>
          <wp:inline>
            <wp:extent cx="5486400" cy="2962656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../results/Qwen-Qwen3-Embedding-8B/google_medgemma-27b-text-it/pr_curves/pr_curve_xgboost_FEATURE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62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  <w:i/>
          <w:iCs/>
        </w:rPr>
        <w:t xml:space="preserve">Figure S3.</w:t>
      </w:r>
      <w:r>
        <w:rPr>
          <w:i/>
          <w:iCs/>
        </w:rPr>
        <w:t xml:space="preserve"> </w:t>
      </w:r>
      <w:r>
        <w:rPr>
          <w:i/>
          <w:iCs/>
        </w:rPr>
        <w:t xml:space="preserve">Precision-recall curves for the best classifier on each representation,</w:t>
      </w:r>
      <w:r>
        <w:rPr>
          <w:i/>
          <w:iCs/>
        </w:rPr>
        <w:t xml:space="preserve"> </w:t>
      </w:r>
      <w:r>
        <w:rPr>
          <w:i/>
          <w:iCs/>
        </w:rPr>
        <w:t xml:space="preserve">on the held-out test set with the primary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Qwen3-Embedding-8B</w:t>
      </w:r>
      <w:r>
        <w:rPr>
          <w:i/>
          <w:iCs/>
        </w:rPr>
        <w:t xml:space="preserve"> </w:t>
      </w:r>
      <w:r>
        <w:rPr>
          <w:i/>
          <w:iCs/>
        </w:rPr>
        <w:t xml:space="preserve">encoder. Panel A is</w:t>
      </w:r>
      <w:r>
        <w:rPr>
          <w:i/>
          <w:iCs/>
        </w:rPr>
        <w:t xml:space="preserve"> </w:t>
      </w:r>
      <w:r>
        <w:rPr>
          <w:i/>
          <w:iCs/>
        </w:rPr>
        <w:t xml:space="preserve">embedded logistic regression and panel B feature-representation XGBoost. The horizontal</w:t>
      </w:r>
      <w:r>
        <w:rPr>
          <w:i/>
          <w:iCs/>
        </w:rPr>
        <w:t xml:space="preserve"> </w:t>
      </w:r>
      <w:r>
        <w:rPr>
          <w:i/>
          <w:iCs/>
        </w:rPr>
        <w:t xml:space="preserve">reference is the no-skill baseline of 0.175, the positive rate.</w:t>
      </w:r>
    </w:p>
    <w:bookmarkEnd w:id="71"/>
    <w:bookmarkStart w:id="72" w:name="Xa3b271056bca09aaa8c9a6a8f99169b2543a437"/>
    <w:p>
      <w:pPr>
        <w:pStyle w:val="Heading1"/>
      </w:pPr>
      <w:r>
        <w:t xml:space="preserve">Supplement S4. Calibration absolute-error metrics</w:t>
      </w:r>
    </w:p>
    <w:p>
      <w:pPr>
        <w:pStyle w:val="FirstParagraph"/>
      </w:pPr>
      <w:r>
        <w:t xml:space="preserve">The main text reports calibration shape in two places: the slope and intercept in its</w:t>
      </w:r>
      <w:r>
        <w:t xml:space="preserve"> </w:t>
      </w:r>
      <w:r>
        <w:t xml:space="preserve">Table 3, and the calibration curves in its Figure 6. The two absolute-error summaries</w:t>
      </w:r>
      <w:r>
        <w:t xml:space="preserve"> </w:t>
      </w:r>
      <w:r>
        <w:t xml:space="preserve">are reported here instead. They are the Brier score and a weighted calibration error,</w:t>
      </w:r>
      <w:r>
        <w:t xml:space="preserve"> </w:t>
      </w:r>
      <w:r>
        <w:t xml:space="preserve">and lower is better for both.</w:t>
      </w:r>
    </w:p>
    <w:p>
      <w:pPr>
        <w:pStyle w:val="BodyText"/>
      </w:pPr>
      <w:r>
        <w:t xml:space="preserve">Brier scores sat uniformly near 0.137 to 0.140 across all eight models, dominated by the</w:t>
      </w:r>
      <w:r>
        <w:t xml:space="preserve"> </w:t>
      </w:r>
      <w:r>
        <w:t xml:space="preserve">17.5% base rate. The weighted calibration error separated the models more clearly.</w:t>
      </w:r>
      <w:r>
        <w:t xml:space="preserve"> </w:t>
      </w:r>
      <w:r>
        <w:t xml:space="preserve">Gradient boosting on the embedded representation was lowest at 0.004, with logistic</w:t>
      </w:r>
      <w:r>
        <w:t xml:space="preserve"> </w:t>
      </w:r>
      <w:r>
        <w:t xml:space="preserve">regression on the feature representation next at 0.005. Both are consistent with the</w:t>
      </w:r>
      <w:r>
        <w:t xml:space="preserve"> </w:t>
      </w:r>
      <w:r>
        <w:t xml:space="preserve">near-ideal slopes those two models carry in main-text Table 3.</w:t>
      </w:r>
    </w:p>
    <w:p>
      <w:pPr>
        <w:pStyle w:val="BodyText"/>
      </w:pPr>
      <w:r>
        <w:rPr>
          <w:b/>
          <w:bCs/>
          <w:i/>
          <w:iCs/>
        </w:rPr>
        <w:t xml:space="preserve">Table S3.</w:t>
      </w:r>
      <w:r>
        <w:rPr>
          <w:i/>
          <w:iCs/>
        </w:rPr>
        <w:t xml:space="preserve"> </w:t>
      </w:r>
      <w:r>
        <w:rPr>
          <w:i/>
          <w:iCs/>
        </w:rPr>
        <w:t xml:space="preserve">Brier score and weighted calibration error (WCE) of the four</w:t>
      </w:r>
      <w:r>
        <w:rPr>
          <w:i/>
          <w:iCs/>
        </w:rPr>
        <w:t xml:space="preserve"> </w:t>
      </w:r>
      <w:r>
        <w:rPr>
          <w:i/>
          <w:iCs/>
        </w:rPr>
        <w:t xml:space="preserve">classifiers on each representation (held-out test set). Lower is better for</w:t>
      </w:r>
      <w:r>
        <w:rPr>
          <w:i/>
          <w:iCs/>
        </w:rPr>
        <w:t xml:space="preserve"> </w:t>
      </w:r>
      <w:r>
        <w:rPr>
          <w:i/>
          <w:iCs/>
        </w:rPr>
        <w:t xml:space="preserve">both. Calibration slope and intercept are in main-text Table 3.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Representation</w:t>
            </w:r>
          </w:p>
        </w:tc>
        <w:tc>
          <w:tcPr/>
          <w:p>
            <w:pPr>
              <w:pStyle w:val="Compact"/>
            </w:pPr>
            <w:r>
              <w:t xml:space="preserve">Classifier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Brier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EMBEDDED</w:t>
            </w:r>
          </w:p>
        </w:tc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EMBEDDED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EMBEDDED</w:t>
            </w:r>
          </w:p>
        </w:tc>
        <w:tc>
          <w:tcPr/>
          <w:p>
            <w:pPr>
              <w:pStyle w:val="Compact"/>
            </w:pPr>
            <w:r>
              <w:t xml:space="preserve">Gradient boosting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EMBEDDED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Gradient boosting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</w:t>
            </w:r>
          </w:p>
        </w:tc>
      </w:tr>
    </w:tbl>
    <w:bookmarkEnd w:id="72"/>
    <w:bookmarkStart w:id="91" w:name="Xe6cf0374d26136d2d0185aa8a8b4877aa62c997"/>
    <w:p>
      <w:pPr>
        <w:pStyle w:val="Heading1"/>
      </w:pPr>
      <w:r>
        <w:t xml:space="preserve">Supplement S5. Encoder similarity geometry: a bimodality artifact in bge-small-en-v1.5</w:t>
      </w:r>
    </w:p>
    <w:p>
      <w:pPr>
        <w:pStyle w:val="FirstParagraph"/>
      </w:pPr>
      <w:r>
        <w:t xml:space="preserve">A complementary view of how each encoder organises the cohort is the distribution of</w:t>
      </w:r>
      <w:r>
        <w:t xml:space="preserve"> </w:t>
      </w:r>
      <w:r>
        <w:t xml:space="preserve">cosine similarities between patient embeddings. Figure S4 contrasts, for each encoder,</w:t>
      </w:r>
      <w:r>
        <w:t xml:space="preserve"> </w:t>
      </w:r>
      <w:r>
        <w:t xml:space="preserve">the similarities of random patient pairs against those of nearest-neighbour pairs, where</w:t>
      </w:r>
      <w:r>
        <w:t xml:space="preserve"> </w:t>
      </w:r>
      <w:r>
        <w:t xml:space="preserve">the random-pair histogram is the encoder’s overall similarity distribution.</w:t>
      </w:r>
    </w:p>
    <w:p>
      <w:pPr>
        <w:pStyle w:val="BodyText"/>
      </w:pPr>
      <w:r>
        <w:t xml:space="preserve">Three of the four encoders produce smooth, unimodal random-pair distributions:</w:t>
      </w:r>
      <w:r>
        <w:t xml:space="preserve"> </w:t>
      </w:r>
      <w:r>
        <w:t xml:space="preserve">bge-en-icl, Qwen3-Embedding-4B and Qwen3-Embedding-8B. The smallest encoder is the</w:t>
      </w:r>
      <w:r>
        <w:t xml:space="preserve"> </w:t>
      </w:r>
      <w:r>
        <w:t xml:space="preserve">exception. Its random-pair distribution is distinctly multimodal, with a sharp primary</w:t>
      </w:r>
      <w:r>
        <w:t xml:space="preserve"> </w:t>
      </w:r>
      <w:r>
        <w:t xml:space="preserve">peak near 0.99 and a separated secondary mode near 0.98. That says the cohort splits</w:t>
      </w:r>
      <w:r>
        <w:t xml:space="preserve"> </w:t>
      </w:r>
      <w:r>
        <w:t xml:space="preserve">into two internally similar groups rather than spreading along one continuum.</w:t>
      </w:r>
    </w:p>
    <w:p>
      <w:pPr>
        <w:pStyle w:val="BodyText"/>
      </w:pPr>
      <w:r>
        <w:rPr>
          <w:b/>
          <w:bCs/>
        </w:rPr>
        <w:t xml:space="preserve">(A) bge-small-en-v1.5</w:t>
      </w:r>
    </w:p>
    <w:p>
      <w:pPr>
        <w:pStyle w:val="BodyText"/>
      </w:pPr>
      <w:r>
        <w:drawing>
          <wp:inline>
            <wp:extent cx="5486400" cy="2962656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../results/bge-small-en-v1.5/google_medgemma-27b-text-it/cosine_score_random_vs_neighbor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62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(B) bge-en-icl</w:t>
      </w:r>
    </w:p>
    <w:p>
      <w:pPr>
        <w:pStyle w:val="BodyText"/>
      </w:pPr>
      <w:r>
        <w:drawing>
          <wp:inline>
            <wp:extent cx="5486400" cy="2962656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../results/bge-en-icl/google_medgemma-27b-text-it/cosine_score_random_vs_neighbor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62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(C) Qwen3-Embedding-4B</w:t>
      </w:r>
    </w:p>
    <w:p>
      <w:pPr>
        <w:pStyle w:val="BodyText"/>
      </w:pPr>
      <w:r>
        <w:drawing>
          <wp:inline>
            <wp:extent cx="5486400" cy="2962656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../results/Qwen-Qwen3-Embedding-4B/google_medgemma-27b-text-it/cosine_score_random_vs_neighbor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62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(D) Qwen3-Embedding-8B</w:t>
      </w:r>
    </w:p>
    <w:p>
      <w:pPr>
        <w:pStyle w:val="BodyText"/>
      </w:pPr>
      <w:r>
        <w:drawing>
          <wp:inline>
            <wp:extent cx="5486400" cy="2962656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../results/Qwen-Qwen3-Embedding-8B/google_medgemma-27b-text-it/cosine_score_random_vs_neighbor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62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  <w:i/>
          <w:iCs/>
        </w:rPr>
        <w:t xml:space="preserve">Figure S4.</w:t>
      </w:r>
      <w:r>
        <w:rPr>
          <w:i/>
          <w:iCs/>
        </w:rPr>
        <w:t xml:space="preserve"> </w:t>
      </w:r>
      <w:r>
        <w:rPr>
          <w:i/>
          <w:iCs/>
        </w:rPr>
        <w:t xml:space="preserve">Random-pair (red) versus nearest-neighbor-pair (green)</w:t>
      </w:r>
      <w:r>
        <w:rPr>
          <w:i/>
          <w:iCs/>
        </w:rPr>
        <w:t xml:space="preserve"> </w:t>
      </w:r>
      <w:r>
        <w:rPr>
          <w:i/>
          <w:iCs/>
        </w:rPr>
        <w:t xml:space="preserve">cosine similarities for each encoder (full cohort). (A) bge-small-en-v1.5,</w:t>
      </w:r>
      <w:r>
        <w:rPr>
          <w:i/>
          <w:iCs/>
        </w:rPr>
        <w:t xml:space="preserve"> </w:t>
      </w:r>
      <w:r>
        <w:rPr>
          <w:i/>
          <w:iCs/>
        </w:rPr>
        <w:t xml:space="preserve">(B) bge-en-icl, (C) Qwen3-Embedding-4B, (D) Qwen3-Embedding-8B. The red</w:t>
      </w:r>
      <w:r>
        <w:rPr>
          <w:i/>
          <w:iCs/>
        </w:rPr>
        <w:t xml:space="preserve"> </w:t>
      </w:r>
      <w:r>
        <w:rPr>
          <w:i/>
          <w:iCs/>
        </w:rPr>
        <w:t xml:space="preserve">random-pair histogram is the encoder’s overall similarity distribution:</w:t>
      </w:r>
      <w:r>
        <w:rPr>
          <w:i/>
          <w:iCs/>
        </w:rPr>
        <w:t xml:space="preserve"> </w:t>
      </w:r>
      <w:r>
        <w:rPr>
          <w:i/>
          <w:iCs/>
        </w:rPr>
        <w:t xml:space="preserve">it is multimodal only for bge-small-en-v1.5 (A) and smoothly unimodal for</w:t>
      </w:r>
      <w:r>
        <w:rPr>
          <w:i/>
          <w:iCs/>
        </w:rPr>
        <w:t xml:space="preserve"> </w:t>
      </w:r>
      <w:r>
        <w:rPr>
          <w:i/>
          <w:iCs/>
        </w:rPr>
        <w:t xml:space="preserve">the other three. In every panel the neighbor-pair similarities (green)</w:t>
      </w:r>
      <w:r>
        <w:rPr>
          <w:i/>
          <w:iCs/>
        </w:rPr>
        <w:t xml:space="preserve"> </w:t>
      </w:r>
      <w:r>
        <w:rPr>
          <w:i/>
          <w:iCs/>
        </w:rPr>
        <w:t xml:space="preserve">sit above the bulk of the random-pair mass, confirming that</w:t>
      </w:r>
      <w:r>
        <w:rPr>
          <w:i/>
          <w:iCs/>
        </w:rPr>
        <w:t xml:space="preserve"> </w:t>
      </w:r>
      <w:r>
        <w:rPr>
          <w:i/>
          <w:iCs/>
        </w:rPr>
        <w:t xml:space="preserve">nearest-neighbor retrieval selects genuinely more similar patients. Axis</w:t>
      </w:r>
      <w:r>
        <w:rPr>
          <w:i/>
          <w:iCs/>
        </w:rPr>
        <w:t xml:space="preserve"> </w:t>
      </w:r>
      <w:r>
        <w:rPr>
          <w:i/>
          <w:iCs/>
        </w:rPr>
        <w:t xml:space="preserve">ranges differ per panel because the encoders occupy different absolute</w:t>
      </w:r>
      <w:r>
        <w:rPr>
          <w:i/>
          <w:iCs/>
        </w:rPr>
        <w:t xml:space="preserve"> </w:t>
      </w:r>
      <w:r>
        <w:rPr>
          <w:i/>
          <w:iCs/>
        </w:rPr>
        <w:t xml:space="preserve">similarity bands.</w:t>
      </w:r>
    </w:p>
    <w:p>
      <w:pPr>
        <w:pStyle w:val="BodyText"/>
      </w:pPr>
      <w:r>
        <w:t xml:space="preserve">To identify the split we clustered the L2-normalised bge-small embeddings into two</w:t>
      </w:r>
      <w:r>
        <w:t xml:space="preserve"> </w:t>
      </w:r>
      <w:r>
        <w:t xml:space="preserve">groups with k-means, which partitioned the 42,579 patients into 14,438 and 28,141. The</w:t>
      </w:r>
      <w:r>
        <w:t xml:space="preserve"> </w:t>
      </w:r>
      <w:r>
        <w:t xml:space="preserve">partition coincides almost perfectly with a single surface lexical feature. The literal</w:t>
      </w:r>
      <w:r>
        <w:t xml:space="preserve"> </w:t>
      </w:r>
      <w:r>
        <w:t xml:space="preserve">token</w:t>
      </w:r>
      <w:r>
        <w:t xml:space="preserve"> </w:t>
      </w:r>
      <w:r>
        <w:t xml:space="preserve">“episode”</w:t>
      </w:r>
      <w:r>
        <w:t xml:space="preserve"> </w:t>
      </w:r>
      <w:r>
        <w:t xml:space="preserve">appears in essentially every narrative of the larger cluster and almost</w:t>
      </w:r>
      <w:r>
        <w:t xml:space="preserve"> </w:t>
      </w:r>
      <w:r>
        <w:t xml:space="preserve">none of the smaller, and the related MDD recurrence and severity wording follows the</w:t>
      </w:r>
      <w:r>
        <w:t xml:space="preserve"> </w:t>
      </w:r>
      <w:r>
        <w:t xml:space="preserve">same split.</w:t>
      </w:r>
    </w:p>
    <w:p>
      <w:pPr>
        <w:pStyle w:val="BodyText"/>
      </w:pPr>
      <w:r>
        <w:t xml:space="preserve">What each cluster is deserves stating precisely, because the two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simply</w:t>
      </w:r>
      <w:r>
        <w:t xml:space="preserve"> </w:t>
      </w:r>
      <w:r>
        <w:t xml:space="preserve">recurrent against non-recurrent. The narrative renders each patient’s MDD coding</w:t>
      </w:r>
      <w:r>
        <w:t xml:space="preserve"> </w:t>
      </w:r>
      <w:r>
        <w:t xml:space="preserve">verbatim, as</w:t>
      </w:r>
      <w:r>
        <w:t xml:space="preserve"> </w:t>
      </w:r>
      <w:r>
        <w:rPr>
          <w:rStyle w:val="VerbatimChar"/>
        </w:rPr>
        <w:t xml:space="preserve">MDD (Single Episode, Unspecified)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MDD (Recurrent, Moderate)</w:t>
      </w:r>
      <w:r>
        <w:t xml:space="preserve">, and</w:t>
      </w:r>
      <w:r>
        <w:t xml:space="preserve"> </w:t>
      </w:r>
      <w:r>
        <w:t xml:space="preserve">only the single-episode wording contains the word</w:t>
      </w:r>
      <w:r>
        <w:t xml:space="preserve"> </w:t>
      </w:r>
      <w:r>
        <w:t xml:space="preserve">“episode”</w:t>
      </w:r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Cluster B (28,141)</w:t>
      </w:r>
      <w:r>
        <w:t xml:space="preserve"> </w:t>
      </w:r>
      <w:r>
        <w:t xml:space="preserve">holds narratives that contain</w:t>
      </w:r>
      <w:r>
        <w:t xml:space="preserve"> </w:t>
      </w:r>
      <w:r>
        <w:t xml:space="preserve">“episode”</w:t>
      </w:r>
      <w:r>
        <w:t xml:space="preserve">, the single-episode</w:t>
      </w:r>
      <w:r>
        <w:t xml:space="preserve"> </w:t>
      </w:r>
      <w:r>
        <w:t xml:space="preserve">patients, of whom there are 28,206 in the cohort.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Cluster A (14,438)</w:t>
      </w:r>
      <w:r>
        <w:t xml:space="preserve"> </w:t>
      </w:r>
      <w:r>
        <w:t xml:space="preserve">holds narratives that do not. It is a mixture of the 11,213</w:t>
      </w:r>
      <w:r>
        <w:t xml:space="preserve"> </w:t>
      </w:r>
      <w:r>
        <w:t xml:space="preserve">patients coded</w:t>
      </w:r>
      <w:r>
        <w:t xml:space="preserve"> </w:t>
      </w:r>
      <w:r>
        <w:rPr>
          <w:rStyle w:val="VerbatimChar"/>
        </w:rPr>
        <w:t xml:space="preserve">Recurrent</w:t>
      </w:r>
      <w:r>
        <w:t xml:space="preserve"> </w:t>
      </w:r>
      <w:r>
        <w:t xml:space="preserve">and the roughly 3,200 coded</w:t>
      </w:r>
      <w:r>
        <w:t xml:space="preserve"> </w:t>
      </w:r>
      <w:r>
        <w:rPr>
          <w:rStyle w:val="VerbatimChar"/>
        </w:rPr>
        <w:t xml:space="preserve">Unspecified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Dysthymia</w:t>
      </w:r>
      <w:r>
        <w:t xml:space="preserve">,</w:t>
      </w:r>
      <w:r>
        <w:t xml:space="preserve"> </w:t>
      </w:r>
      <w:r>
        <w:t xml:space="preserve">neither of which uses the word</w:t>
      </w:r>
      <w:r>
        <w:t xml:space="preserve"> </w:t>
      </w:r>
      <w:r>
        <w:t xml:space="preserve">“episode”</w:t>
      </w:r>
      <w:r>
        <w:t xml:space="preserve">.</w:t>
      </w:r>
    </w:p>
    <w:p>
      <w:pPr>
        <w:pStyle w:val="FirstParagraph"/>
      </w:pPr>
      <w:r>
        <w:t xml:space="preserve">Cluster A is therefore best described as carrying no</w:t>
      </w:r>
      <w:r>
        <w:t xml:space="preserve"> </w:t>
      </w:r>
      <w:r>
        <w:rPr>
          <w:i/>
          <w:iCs/>
        </w:rPr>
        <w:t xml:space="preserve">episode</w:t>
      </w:r>
      <w:r>
        <w:t xml:space="preserve"> </w:t>
      </w:r>
      <w:r>
        <w:t xml:space="preserve">token rather than as</w:t>
      </w:r>
      <w:r>
        <w:t xml:space="preserve"> </w:t>
      </w:r>
      <w:r>
        <w:t xml:space="preserve">being all recurrent. Roughly one patient in five inside it is not coded recurrent at</w:t>
      </w:r>
      <w:r>
        <w:t xml:space="preserve"> </w:t>
      </w:r>
      <w:r>
        <w:t xml:space="preserve">all. That distinction is what the second-order analysis below turns on.</w:t>
      </w:r>
    </w:p>
    <w:p>
      <w:pPr>
        <w:pStyle w:val="BodyText"/>
      </w:pPr>
      <w:r>
        <w:rPr>
          <w:b/>
          <w:bCs/>
          <w:i/>
          <w:iCs/>
        </w:rPr>
        <w:t xml:space="preserve">Table S4.</w:t>
      </w:r>
      <w:r>
        <w:rPr>
          <w:i/>
          <w:iCs/>
        </w:rPr>
        <w:t xml:space="preserve"> </w:t>
      </w:r>
      <w:r>
        <w:rPr>
          <w:i/>
          <w:iCs/>
        </w:rPr>
        <w:t xml:space="preserve">Surface tokens that most strongly separate the two k-means clusters of</w:t>
      </w:r>
      <w:r>
        <w:rPr>
          <w:i/>
          <w:iCs/>
        </w:rPr>
        <w:t xml:space="preserve"> </w:t>
      </w:r>
      <w:r>
        <w:rPr>
          <w:i/>
          <w:iCs/>
        </w:rPr>
        <w:t xml:space="preserve">bge-small-en-v1.5 embeddings. Values are the fraction of narratives in each cluster</w:t>
      </w:r>
      <w:r>
        <w:rPr>
          <w:i/>
          <w:iCs/>
        </w:rPr>
        <w:t xml:space="preserve"> </w:t>
      </w:r>
      <w:r>
        <w:rPr>
          <w:i/>
          <w:iCs/>
        </w:rPr>
        <w:t xml:space="preserve">containing the token, as binary presence. Cluster A holds 14,438 patients whose</w:t>
      </w:r>
      <w:r>
        <w:rPr>
          <w:i/>
          <w:iCs/>
        </w:rPr>
        <w:t xml:space="preserve"> </w:t>
      </w:r>
      <w:r>
        <w:rPr>
          <w:i/>
          <w:iCs/>
        </w:rPr>
        <w:t xml:space="preserve">narratives carry no</w:t>
      </w:r>
      <w:r>
        <w:rPr>
          <w:i/>
          <w:iCs/>
        </w:rPr>
        <w:t xml:space="preserve"> </w:t>
      </w:r>
      <w:r>
        <w:rPr>
          <w:i/>
          <w:iCs/>
        </w:rPr>
        <w:t xml:space="preserve">“episode”</w:t>
      </w:r>
      <w:r>
        <w:rPr>
          <w:i/>
          <w:iCs/>
        </w:rPr>
        <w:t xml:space="preserve"> </w:t>
      </w:r>
      <w:r>
        <w:rPr>
          <w:i/>
          <w:iCs/>
        </w:rPr>
        <w:t xml:space="preserve">token, which is the recurrent-coded group plus</w:t>
      </w:r>
      <w:r>
        <w:rPr>
          <w:i/>
          <w:iCs/>
        </w:rPr>
        <w:t xml:space="preserve"> </w:t>
      </w:r>
      <w:r>
        <w:rPr>
          <w:i/>
          <w:iCs/>
        </w:rPr>
        <w:t xml:space="preserve">unspecified and dysthymia. Cluster B holds 28,141 single-episode narratives. The token</w:t>
      </w:r>
      <w:r>
        <w:rPr>
          <w:i/>
          <w:iCs/>
        </w:rPr>
        <w:t xml:space="preserve"> </w:t>
      </w:r>
      <w:r>
        <w:rPr>
          <w:i/>
          <w:iCs/>
        </w:rPr>
        <w:t xml:space="preserve">“single”</w:t>
      </w:r>
      <w:r>
        <w:rPr>
          <w:i/>
          <w:iCs/>
        </w:rPr>
        <w:t xml:space="preserve"> </w:t>
      </w:r>
      <w:r>
        <w:rPr>
          <w:i/>
          <w:iCs/>
        </w:rPr>
        <w:t xml:space="preserve">is elevated in both clusters because it also occurs as a marital status.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P(present | cluster 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P(present | cluster B)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|Δ|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episode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recurrent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unspecified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</w:t>
            </w:r>
          </w:p>
        </w:tc>
      </w:tr>
    </w:tbl>
    <w:p>
      <w:pPr>
        <w:pStyle w:val="BodyText"/>
      </w:pPr>
      <w:r>
        <w:t xml:space="preserve">Figure S5 makes that mechanism visible. Both panels are histograms of</w:t>
      </w:r>
      <w:r>
        <w:t xml:space="preserve"> </w:t>
      </w:r>
      <w:r>
        <w:rPr>
          <w:i/>
          <w:iCs/>
        </w:rPr>
        <w:t xml:space="preserve">pairs of</w:t>
      </w:r>
      <w:r>
        <w:rPr>
          <w:i/>
          <w:iCs/>
        </w:rPr>
        <w:t xml:space="preserve"> </w:t>
      </w:r>
      <w:r>
        <w:rPr>
          <w:i/>
          <w:iCs/>
        </w:rPr>
        <w:t xml:space="preserve">patients</w:t>
      </w:r>
      <w:r>
        <w:t xml:space="preserve"> </w:t>
      </w:r>
      <w:r>
        <w:t xml:space="preserve">rather than of patients. For every pair in the set shown we compute the cosine</w:t>
      </w:r>
      <w:r>
        <w:t xml:space="preserve"> </w:t>
      </w:r>
      <w:r>
        <w:t xml:space="preserve">similarity between the two embeddings and ask one yes-or-no question about the two</w:t>
      </w:r>
      <w:r>
        <w:t xml:space="preserve"> </w:t>
      </w:r>
      <w:r>
        <w:t xml:space="preserve">narratives: do they agree on a particular word? Pairs that agree are drawn in blue and</w:t>
      </w:r>
      <w:r>
        <w:t xml:space="preserve"> </w:t>
      </w:r>
      <w:r>
        <w:t xml:space="preserve">pairs that disagree in red, with the grey histogram behind them showing every pair in</w:t>
      </w:r>
      <w:r>
        <w:t xml:space="preserve"> </w:t>
      </w:r>
      <w:r>
        <w:t xml:space="preserve">the set. If a single word were driving the geometry, blue and red would sit at visibly</w:t>
      </w:r>
      <w:r>
        <w:t xml:space="preserve"> </w:t>
      </w:r>
      <w:r>
        <w:t xml:space="preserve">different similarities. If it were not, they would lie on top of each other.</w:t>
      </w:r>
    </w:p>
    <w:p>
      <w:pPr>
        <w:pStyle w:val="BodyText"/>
      </w:pPr>
      <w:r>
        <w:t xml:space="preserve">Panel A asks this of all 42,579 patients, using the word</w:t>
      </w:r>
      <w:r>
        <w:t xml:space="preserve"> </w:t>
      </w:r>
      <w:r>
        <w:t xml:space="preserve">“episode”</w:t>
      </w:r>
      <w:r>
        <w:t xml:space="preserve">: do both narratives</w:t>
      </w:r>
      <w:r>
        <w:t xml:space="preserve"> </w:t>
      </w:r>
      <w:r>
        <w:t xml:space="preserve">contain it, or does neither? Blue is agreement, meaning both single-episode or both</w:t>
      </w:r>
      <w:r>
        <w:t xml:space="preserve"> </w:t>
      </w:r>
      <w:r>
        <w:t xml:space="preserve">non-single-episode, and red is disagreement. The blue pairs pile up at about 0.99 and</w:t>
      </w:r>
      <w:r>
        <w:t xml:space="preserve"> </w:t>
      </w:r>
      <w:r>
        <w:t xml:space="preserve">the red pairs at about 0.97. The two modes of Figure S4A are therefore exactly these two</w:t>
      </w:r>
      <w:r>
        <w:t xml:space="preserve"> </w:t>
      </w:r>
      <w:r>
        <w:t xml:space="preserve">groups. The encoder places two patients about 0.02 further apart when their MDD coding</w:t>
      </w:r>
      <w:r>
        <w:t xml:space="preserve"> </w:t>
      </w:r>
      <w:r>
        <w:t xml:space="preserve">is phrased differently, whatever else is in their records.</w:t>
      </w:r>
    </w:p>
    <w:p>
      <w:pPr>
        <w:pStyle w:val="BodyText"/>
      </w:pPr>
      <w:r>
        <w:t xml:space="preserve">Panel B asks the question again inside cluster A alone, using the word</w:t>
      </w:r>
      <w:r>
        <w:t xml:space="preserve"> </w:t>
      </w:r>
      <w:r>
        <w:t xml:space="preserve">“recurrent”</w:t>
      </w:r>
      <w:r>
        <w:t xml:space="preserve">. A</w:t>
      </w:r>
      <w:r>
        <w:t xml:space="preserve"> </w:t>
      </w:r>
      <w:r>
        <w:t xml:space="preserve">second question is needed because every narrative in cluster A lacks</w:t>
      </w:r>
      <w:r>
        <w:t xml:space="preserve"> </w:t>
      </w:r>
      <w:r>
        <w:t xml:space="preserve">“episode”</w:t>
      </w:r>
      <w:r>
        <w:t xml:space="preserve">, which</w:t>
      </w:r>
      <w:r>
        <w:t xml:space="preserve"> </w:t>
      </w:r>
      <w:r>
        <w:t xml:space="preserve">makes panel A’s question uninformative there.</w:t>
      </w:r>
      <w:r>
        <w:t xml:space="preserve"> </w:t>
      </w:r>
      <w:r>
        <w:t xml:space="preserve">“Recurrent”</w:t>
      </w:r>
      <w:r>
        <w:t xml:space="preserve"> </w:t>
      </w:r>
      <w:r>
        <w:t xml:space="preserve">is a genuine question because</w:t>
      </w:r>
      <w:r>
        <w:t xml:space="preserve"> </w:t>
      </w:r>
      <w:r>
        <w:t xml:space="preserve">cluster A is not uniformly recurrent: 11,425 of its members are coded</w:t>
      </w:r>
      <w:r>
        <w:t xml:space="preserve"> </w:t>
      </w:r>
      <w:r>
        <w:rPr>
          <w:rStyle w:val="VerbatimChar"/>
        </w:rPr>
        <w:t xml:space="preserve">Recurrent</w:t>
      </w:r>
      <w:r>
        <w:t xml:space="preserve"> </w:t>
      </w:r>
      <w:r>
        <w:t xml:space="preserve">and</w:t>
      </w:r>
      <w:r>
        <w:t xml:space="preserve"> </w:t>
      </w:r>
      <w:r>
        <w:t xml:space="preserve">3,013 are coded</w:t>
      </w:r>
      <w:r>
        <w:t xml:space="preserve"> </w:t>
      </w:r>
      <w:r>
        <w:rPr>
          <w:rStyle w:val="VerbatimChar"/>
        </w:rPr>
        <w:t xml:space="preserve">Unspecified</w:t>
      </w:r>
      <w:r>
        <w:t xml:space="preserve">. Blue pairs again separate from red pairs, so cluster A</w:t>
      </w:r>
      <w:r>
        <w:t xml:space="preserve"> </w:t>
      </w:r>
      <w:r>
        <w:t xml:space="preserve">carries a real second split, once more on wording rather than on clinical content.</w:t>
      </w:r>
    </w:p>
    <w:p>
      <w:pPr>
        <w:pStyle w:val="BodyText"/>
      </w:pPr>
      <w:r>
        <w:t xml:space="preserve">Cluster B was tested the same way and is not plotted. Its only candidate second-order</w:t>
      </w:r>
      <w:r>
        <w:t xml:space="preserve"> </w:t>
      </w:r>
      <w:r>
        <w:t xml:space="preserve">token is the narrative’s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 </w:t>
      </w:r>
      <w:r>
        <w:t xml:space="preserve">sentinel, and there the blue and red histograms lie</w:t>
      </w:r>
      <w:r>
        <w:t xml:space="preserve"> </w:t>
      </w:r>
      <w:r>
        <w:t xml:space="preserve">almost exactly on top of each other. There is no second split to show. Those numbers are</w:t>
      </w:r>
      <w:r>
        <w:t xml:space="preserve"> </w:t>
      </w:r>
      <w:r>
        <w:t xml:space="preserve">in Table S5.</w:t>
      </w:r>
    </w:p>
    <w:p>
      <w:pPr>
        <w:pStyle w:val="BodyText"/>
      </w:pPr>
      <w:r>
        <w:rPr>
          <w:b/>
          <w:bCs/>
        </w:rPr>
        <w:t xml:space="preserve">(A) All 42,579 patients, split by the</w:t>
      </w:r>
      <w:r>
        <w:rPr>
          <w:b/>
          <w:bCs/>
        </w:rPr>
        <w:t xml:space="preserve"> </w:t>
      </w:r>
      <w:r>
        <w:rPr>
          <w:b/>
          <w:bCs/>
        </w:rPr>
        <w:t xml:space="preserve">“episode”</w:t>
      </w:r>
      <w:r>
        <w:rPr>
          <w:b/>
          <w:bCs/>
        </w:rPr>
        <w:t xml:space="preserve"> </w:t>
      </w:r>
      <w:r>
        <w:rPr>
          <w:b/>
          <w:bCs/>
        </w:rPr>
        <w:t xml:space="preserve">token</w:t>
      </w:r>
    </w:p>
    <w:p>
      <w:pPr>
        <w:pStyle w:val="BodyText"/>
      </w:pPr>
      <w:r>
        <w:drawing>
          <wp:inline>
            <wp:extent cx="5029200" cy="2699327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../notebooks/figures/bge_small_recurrence_bimodality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99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(B) Cluster A only (n = 14,438), split by the</w:t>
      </w:r>
      <w:r>
        <w:rPr>
          <w:b/>
          <w:bCs/>
        </w:rPr>
        <w:t xml:space="preserve"> </w:t>
      </w:r>
      <w:r>
        <w:rPr>
          <w:b/>
          <w:bCs/>
        </w:rPr>
        <w:t xml:space="preserve">“recurrent”</w:t>
      </w:r>
      <w:r>
        <w:rPr>
          <w:b/>
          <w:bCs/>
        </w:rPr>
        <w:t xml:space="preserve"> </w:t>
      </w:r>
      <w:r>
        <w:rPr>
          <w:b/>
          <w:bCs/>
        </w:rPr>
        <w:t xml:space="preserve">token</w:t>
      </w:r>
    </w:p>
    <w:p>
      <w:pPr>
        <w:pStyle w:val="BodyText"/>
      </w:pPr>
      <w:r>
        <w:drawing>
          <wp:inline>
            <wp:extent cx="5029200" cy="2699327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../notebooks/figures/bge_small_cluster0_subsplit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99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  <w:i/>
          <w:iCs/>
        </w:rPr>
        <w:t xml:space="preserve">Figure S5.</w:t>
      </w:r>
      <w:r>
        <w:rPr>
          <w:i/>
          <w:iCs/>
        </w:rPr>
        <w:t xml:space="preserve"> </w:t>
      </w:r>
      <w:r>
        <w:rPr>
          <w:i/>
          <w:iCs/>
        </w:rPr>
        <w:t xml:space="preserve">Pairwise cosine-similarity distributions for bge-small-en-v1.5,</w:t>
      </w:r>
      <w:r>
        <w:rPr>
          <w:i/>
          <w:iCs/>
        </w:rPr>
        <w:t xml:space="preserve"> </w:t>
      </w:r>
      <w:r>
        <w:rPr>
          <w:i/>
          <w:iCs/>
        </w:rPr>
        <w:t xml:space="preserve">decomposed by whether the two patients in a pair use the same wording for one token.</w:t>
      </w:r>
      <w:r>
        <w:rPr>
          <w:i/>
          <w:iCs/>
        </w:rPr>
        <w:t xml:space="preserve"> </w:t>
      </w:r>
      <w:r>
        <w:rPr>
          <w:i/>
          <w:iCs/>
        </w:rPr>
        <w:t xml:space="preserve">Blue is same, red is different, and grey is all pairs in the set shown.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(A)</w:t>
      </w:r>
      <w:r>
        <w:rPr>
          <w:i/>
          <w:iCs/>
        </w:rPr>
        <w:t xml:space="preserve"> </w:t>
      </w:r>
      <w:r>
        <w:rPr>
          <w:i/>
          <w:iCs/>
        </w:rPr>
        <w:t xml:space="preserve">All</w:t>
      </w:r>
      <w:r>
        <w:rPr>
          <w:i/>
          <w:iCs/>
        </w:rPr>
        <w:t xml:space="preserve"> </w:t>
      </w:r>
      <w:r>
        <w:rPr>
          <w:i/>
          <w:iCs/>
        </w:rPr>
        <w:t xml:space="preserve">42,579 patients, split on the</w:t>
      </w:r>
      <w:r>
        <w:rPr>
          <w:i/>
          <w:iCs/>
        </w:rPr>
        <w:t xml:space="preserve"> </w:t>
      </w:r>
      <w:r>
        <w:rPr>
          <w:i/>
          <w:iCs/>
        </w:rPr>
        <w:t xml:space="preserve">“episode”</w:t>
      </w:r>
      <w:r>
        <w:rPr>
          <w:i/>
          <w:iCs/>
        </w:rPr>
        <w:t xml:space="preserve"> </w:t>
      </w:r>
      <w:r>
        <w:rPr>
          <w:i/>
          <w:iCs/>
        </w:rPr>
        <w:t xml:space="preserve">token. Same-wording pairs form the upper mode</w:t>
      </w:r>
      <w:r>
        <w:rPr>
          <w:i/>
          <w:iCs/>
        </w:rPr>
        <w:t xml:space="preserve"> </w:t>
      </w:r>
      <w:r>
        <w:rPr>
          <w:i/>
          <w:iCs/>
        </w:rPr>
        <w:t xml:space="preserve">near 0.99 and differing-wording pairs the lower mode near 0.97, so the bimodality in</w:t>
      </w:r>
      <w:r>
        <w:rPr>
          <w:i/>
          <w:iCs/>
        </w:rPr>
        <w:t xml:space="preserve"> </w:t>
      </w:r>
      <w:r>
        <w:rPr>
          <w:i/>
          <w:iCs/>
        </w:rPr>
        <w:t xml:space="preserve">Figure S4A is driven by recurrence phrasing rather than by holistic clinical similarity.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(B)</w:t>
      </w:r>
      <w:r>
        <w:rPr>
          <w:i/>
          <w:iCs/>
        </w:rPr>
        <w:t xml:space="preserve"> </w:t>
      </w:r>
      <w:r>
        <w:rPr>
          <w:i/>
          <w:iCs/>
        </w:rPr>
        <w:t xml:space="preserve">Cluster A only, the 14,438 patients whose narratives lack</w:t>
      </w:r>
      <w:r>
        <w:rPr>
          <w:i/>
          <w:iCs/>
        </w:rPr>
        <w:t xml:space="preserve"> </w:t>
      </w:r>
      <w:r>
        <w:rPr>
          <w:i/>
          <w:iCs/>
        </w:rPr>
        <w:t xml:space="preserve">“episode”</w:t>
      </w:r>
      <w:r>
        <w:rPr>
          <w:i/>
          <w:iCs/>
        </w:rPr>
        <w:t xml:space="preserve">, split on</w:t>
      </w:r>
      <w:r>
        <w:rPr>
          <w:i/>
          <w:iCs/>
        </w:rP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“recurrent”</w:t>
      </w:r>
      <w:r>
        <w:rPr>
          <w:i/>
          <w:iCs/>
        </w:rPr>
        <w:t xml:space="preserve"> </w:t>
      </w:r>
      <w:r>
        <w:rPr>
          <w:i/>
          <w:iCs/>
        </w:rPr>
        <w:t xml:space="preserve">token. The two colours again separate, so this cluster is itself</w:t>
      </w:r>
      <w:r>
        <w:rPr>
          <w:i/>
          <w:iCs/>
        </w:rPr>
        <w:t xml:space="preserve"> </w:t>
      </w:r>
      <w:r>
        <w:rPr>
          <w:i/>
          <w:iCs/>
        </w:rPr>
        <w:t xml:space="preserve">genuinely divided, once more along a surface-lexical axis. Cluster B admits no</w:t>
      </w:r>
      <w:r>
        <w:rPr>
          <w:i/>
          <w:iCs/>
        </w:rPr>
        <w:t xml:space="preserve"> </w:t>
      </w:r>
      <w:r>
        <w:rPr>
          <w:i/>
          <w:iCs/>
        </w:rPr>
        <w:t xml:space="preserve">comparable second split and is not plotted.</w:t>
      </w:r>
    </w:p>
    <w:p>
      <w:pPr>
        <w:pStyle w:val="BodyText"/>
      </w:pPr>
      <w:r>
        <w:t xml:space="preserve">The lowest-capacity encoder therefore organises its geometry around the presence or</w:t>
      </w:r>
      <w:r>
        <w:t xml:space="preserve"> </w:t>
      </w:r>
      <w:r>
        <w:t xml:space="preserve">absence of one recurrence-phrasing token rather than around holistic clinical content.</w:t>
      </w:r>
      <w:r>
        <w:t xml:space="preserve"> </w:t>
      </w:r>
      <w:r>
        <w:t xml:space="preserve">That lexical split produces the second mode of Figure S4A. The higher-capacity encoders</w:t>
      </w:r>
      <w:r>
        <w:t xml:space="preserve"> </w:t>
      </w:r>
      <w:r>
        <w:t xml:space="preserve">show no such artifact.</w:t>
      </w:r>
    </w:p>
    <w:p>
      <w:pPr>
        <w:pStyle w:val="BodyText"/>
      </w:pPr>
      <w:r>
        <w:t xml:space="preserve">On visual inspection each of the two parent clusters looks as though it might contain</w:t>
      </w:r>
      <w:r>
        <w:t xml:space="preserve"> </w:t>
      </w:r>
      <w:r>
        <w:t xml:space="preserve">two further sub-modes. Table S5 tests whether those apparent sub-modes are real. The</w:t>
      </w:r>
      <w:r>
        <w:t xml:space="preserve"> </w:t>
      </w:r>
      <w:r>
        <w:t xml:space="preserve">test is the same one run twice: take a parent cluster on its own, re-run k-means inside</w:t>
      </w:r>
      <w:r>
        <w:t xml:space="preserve"> </w:t>
      </w:r>
      <w:r>
        <w:t xml:space="preserve">it, ask how clean the resulting two-way split is, and then ask which word the split</w:t>
      </w:r>
      <w:r>
        <w:t xml:space="preserve"> </w:t>
      </w:r>
      <w:r>
        <w:t xml:space="preserve">tracks.</w:t>
      </w:r>
    </w:p>
    <w:p>
      <w:pPr>
        <w:pStyle w:val="BodyText"/>
      </w:pPr>
      <w:r>
        <w:t xml:space="preserve">Cleanliness is measured by the cosine silhouette, on a 5,000-point subsample with a</w:t>
      </w:r>
      <w:r>
        <w:t xml:space="preserve"> </w:t>
      </w:r>
      <w:r>
        <w:t xml:space="preserve">fixed seed. It scores from −1 to 1 and asks, for each patient, whether it sits closer to</w:t>
      </w:r>
      <w:r>
        <w:t xml:space="preserve"> </w:t>
      </w:r>
      <w:r>
        <w:t xml:space="preserve">its own sub-cluster than to the other one. Higher means better separated. The number is</w:t>
      </w:r>
      <w:r>
        <w:t xml:space="preserve"> </w:t>
      </w:r>
      <w:r>
        <w:t xml:space="preserve">only interpretable by comparison, so the reference point is the top-level split of Table</w:t>
      </w:r>
      <w:r>
        <w:t xml:space="preserve"> </w:t>
      </w:r>
      <w:r>
        <w:t xml:space="preserve">S4, which scores 0.48 under the same metric. A within-cluster split scoring well above</w:t>
      </w:r>
      <w:r>
        <w:t xml:space="preserve"> </w:t>
      </w:r>
      <w:r>
        <w:t xml:space="preserve">0.48 is more clearly separated than the split it came from. One scoring well below is</w:t>
      </w:r>
      <w:r>
        <w:t xml:space="preserve"> </w:t>
      </w:r>
      <w:r>
        <w:t xml:space="preserve">not really a split at all.</w:t>
      </w:r>
    </w:p>
    <w:p>
      <w:pPr>
        <w:pStyle w:val="BodyText"/>
      </w:pPr>
      <w:r>
        <w:t xml:space="preserve">The two parents give opposite answers. Cluster A subdivides</w:t>
      </w:r>
      <w:r>
        <w:t xml:space="preserve"> </w:t>
      </w:r>
      <w:r>
        <w:rPr>
          <w:b/>
          <w:bCs/>
        </w:rPr>
        <w:t xml:space="preserve">more</w:t>
      </w:r>
      <w:r>
        <w:t xml:space="preserve"> </w:t>
      </w:r>
      <w:r>
        <w:t xml:space="preserve">cleanly than the</w:t>
      </w:r>
      <w:r>
        <w:t xml:space="preserve"> </w:t>
      </w:r>
      <w:r>
        <w:t xml:space="preserve">parent split itself, at a silhouette of 0.69. It separates into an explicitly recurrent</w:t>
      </w:r>
      <w:r>
        <w:t xml:space="preserve"> </w:t>
      </w:r>
      <w:r>
        <w:t xml:space="preserve">subgroup of 11,425 patients, carrying the token</w:t>
      </w:r>
      <w:r>
        <w:t xml:space="preserve"> </w:t>
      </w:r>
      <w:r>
        <w:t xml:space="preserve">“recurrent”</w:t>
      </w:r>
      <w:r>
        <w:t xml:space="preserve"> </w:t>
      </w:r>
      <w:r>
        <w:t xml:space="preserve">in 98% along with the</w:t>
      </w:r>
      <w:r>
        <w:t xml:space="preserve"> </w:t>
      </w:r>
      <w:r>
        <w:t xml:space="preserve">severity words moderate, mild and severe. The other side is a smaller</w:t>
      </w:r>
      <w:r>
        <w:t xml:space="preserve"> </w:t>
      </w:r>
      <w:r>
        <w:t xml:space="preserve">unspecified-recurrence subgroup of 3,013, carrying</w:t>
      </w:r>
      <w:r>
        <w:t xml:space="preserve"> </w:t>
      </w:r>
      <w:r>
        <w:t xml:space="preserve">“unspecified”</w:t>
      </w:r>
      <w:r>
        <w:t xml:space="preserve"> </w:t>
      </w:r>
      <w:r>
        <w:t xml:space="preserve">in 100% and no severity</w:t>
      </w:r>
      <w:r>
        <w:t xml:space="preserve"> </w:t>
      </w:r>
      <w:r>
        <w:t xml:space="preserve">wording. That smaller subgroup is the same group of about 3,000 patients, 7% of the</w:t>
      </w:r>
      <w:r>
        <w:t xml:space="preserve"> </w:t>
      </w:r>
      <w:r>
        <w:t xml:space="preserve">cohort, that a flat three-cluster solution peels off.</w:t>
      </w:r>
    </w:p>
    <w:p>
      <w:pPr>
        <w:pStyle w:val="BodyText"/>
      </w:pPr>
      <w:r>
        <w:t xml:space="preserve">Cluster B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meaningfully subdivide. Its silhouette is 0.21, well below the</w:t>
      </w:r>
      <w:r>
        <w:t xml:space="preserve"> </w:t>
      </w:r>
      <w:r>
        <w:t xml:space="preserve">parent 0.48. What little structure it has is keyed on the narrative’s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 </w:t>
      </w:r>
      <w:r>
        <w:t xml:space="preserve">sentinel, present in 88% of one putative subgroup and 2% of the other, which is a</w:t>
      </w:r>
      <w:r>
        <w:t xml:space="preserve"> </w:t>
      </w:r>
      <w:r>
        <w:t xml:space="preserve">data-completeness gradient rather than a clinical contrast. Consistent with that</w:t>
      </w:r>
      <w:r>
        <w:t xml:space="preserve"> </w:t>
      </w:r>
      <w:r>
        <w:t xml:space="preserve">reading, the better-populated side additionally carries named SSRIs, at 0.24 for</w:t>
      </w:r>
      <w:r>
        <w:t xml:space="preserve"> </w:t>
      </w:r>
      <w:r>
        <w:t xml:space="preserve">citalopram, 0.16 for escitalopram and 0.17 for sertraline, simply because those patients</w:t>
      </w:r>
      <w:r>
        <w:t xml:space="preserve"> </w:t>
      </w:r>
      <w:r>
        <w:t xml:space="preserve">have more recorded medication.</w:t>
      </w:r>
    </w:p>
    <w:p>
      <w:pPr>
        <w:pStyle w:val="BodyText"/>
      </w:pPr>
      <w:r>
        <w:rPr>
          <w:b/>
          <w:bCs/>
          <w:i/>
          <w:iCs/>
        </w:rPr>
        <w:t xml:space="preserve">Table S5.</w:t>
      </w:r>
      <w:r>
        <w:rPr>
          <w:i/>
          <w:iCs/>
        </w:rPr>
        <w:t xml:space="preserve"> </w:t>
      </w:r>
      <w:r>
        <w:rPr>
          <w:i/>
          <w:iCs/>
        </w:rPr>
        <w:t xml:space="preserve">Do the two clusters of Table S4 split again? Each parent cluster was</w:t>
      </w:r>
      <w:r>
        <w:rPr>
          <w:i/>
          <w:iCs/>
        </w:rPr>
        <w:t xml:space="preserve"> </w:t>
      </w:r>
      <w:r>
        <w:rPr>
          <w:i/>
          <w:iCs/>
        </w:rPr>
        <w:t xml:space="preserve">re-clustered on its own with k-means.</w:t>
      </w:r>
      <w:r>
        <w:rPr>
          <w:i/>
          <w:iCs/>
        </w:rPr>
        <w:t xml:space="preserve"> </w:t>
      </w:r>
      <w:r>
        <w:rPr>
          <w:i/>
          <w:iCs/>
        </w:rPr>
        <w:t xml:space="preserve">“Driving token”</w:t>
      </w:r>
      <w:r>
        <w:rPr>
          <w:i/>
          <w:iCs/>
        </w:rPr>
        <w:t xml:space="preserve"> </w:t>
      </w:r>
      <w:r>
        <w:rPr>
          <w:i/>
          <w:iCs/>
        </w:rPr>
        <w:t xml:space="preserve">is the word whose presence best</w:t>
      </w:r>
      <w:r>
        <w:rPr>
          <w:i/>
          <w:iCs/>
        </w:rPr>
        <w:t xml:space="preserve"> </w:t>
      </w:r>
      <w:r>
        <w:rPr>
          <w:i/>
          <w:iCs/>
        </w:rPr>
        <w:t xml:space="preserve">separates the two resulting sub-clusters. The two proportions are the fraction of</w:t>
      </w:r>
      <w:r>
        <w:rPr>
          <w:i/>
          <w:iCs/>
        </w:rPr>
        <w:t xml:space="preserve"> </w:t>
      </w:r>
      <w:r>
        <w:rPr>
          <w:i/>
          <w:iCs/>
        </w:rPr>
        <w:t xml:space="preserve">narratives containing that word in each sub-cluster, so 0.98 against 0.00 means the word</w:t>
      </w:r>
      <w:r>
        <w:rPr>
          <w:i/>
          <w:iCs/>
        </w:rPr>
        <w:t xml:space="preserve"> </w:t>
      </w:r>
      <w:r>
        <w:rPr>
          <w:i/>
          <w:iCs/>
        </w:rPr>
        <w:t xml:space="preserve">is essentially present in one sub-cluster and absent from the other.</w:t>
      </w:r>
      <w:r>
        <w:rPr>
          <w:i/>
          <w:iCs/>
        </w:rPr>
        <w:t xml:space="preserve"> </w:t>
      </w:r>
      <w:r>
        <w:rPr>
          <w:i/>
          <w:iCs/>
        </w:rPr>
        <w:t xml:space="preserve">“Split silhouette”</w:t>
      </w:r>
      <w:r>
        <w:rPr>
          <w:i/>
          <w:iCs/>
        </w:rPr>
        <w:t xml:space="preserve"> </w:t>
      </w:r>
      <w:r>
        <w:rPr>
          <w:i/>
          <w:iCs/>
        </w:rPr>
        <w:t xml:space="preserve">scores how cleanly the two sub-clusters separate, and should be compared against 0.48,</w:t>
      </w:r>
      <w:r>
        <w:rPr>
          <w:i/>
          <w:iCs/>
        </w:rPr>
        <w:t xml:space="preserve"> </w:t>
      </w:r>
      <w:r>
        <w:rPr>
          <w:i/>
          <w:iCs/>
        </w:rPr>
        <w:t xml:space="preserve">the score of the top-level split under the same metric. Cluster A splits cleanly, on</w:t>
      </w:r>
      <w:r>
        <w:rPr>
          <w:i/>
          <w:iCs/>
        </w:rPr>
        <w:t xml:space="preserve"> </w:t>
      </w:r>
      <w:r>
        <w:rPr>
          <w:i/>
          <w:iCs/>
        </w:rPr>
        <w:t xml:space="preserve">recurrence phrasing. Cluster B does not split: its 0.21 is a weak data-completeness</w:t>
      </w:r>
      <w:r>
        <w:rPr>
          <w:i/>
          <w:iCs/>
        </w:rPr>
        <w:t xml:space="preserve"> </w:t>
      </w:r>
      <w:r>
        <w:rPr>
          <w:i/>
          <w:iCs/>
        </w:rPr>
        <w:t xml:space="preserve">gradient on the missing-data sentinel, which is why it is not plotted in Figure S5.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080"/>
        <w:gridCol w:w="1080"/>
        <w:gridCol w:w="1440"/>
        <w:gridCol w:w="1440"/>
        <w:gridCol w:w="18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Parent cluster (n)</w:t>
            </w:r>
          </w:p>
        </w:tc>
        <w:tc>
          <w:tcPr/>
          <w:p>
            <w:pPr>
              <w:pStyle w:val="Compact"/>
            </w:pPr>
            <w:r>
              <w:t xml:space="preserve">Splits into (n / n)</w:t>
            </w:r>
          </w:p>
        </w:tc>
        <w:tc>
          <w:tcPr/>
          <w:p>
            <w:pPr>
              <w:pStyle w:val="Compact"/>
            </w:pPr>
            <w:r>
              <w:t xml:space="preserve">Driving token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Token present, sub 1 / sub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Split silhouette (top level = 0.48)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Real split?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A: no</w:t>
            </w:r>
            <w:r>
              <w:t xml:space="preserve"> </w:t>
            </w:r>
            <w:r>
              <w:t xml:space="preserve">“episode”</w:t>
            </w:r>
            <w:r>
              <w:t xml:space="preserve"> </w:t>
            </w:r>
            <w:r>
              <w:t xml:space="preserve">token (14,438)</w:t>
            </w:r>
          </w:p>
        </w:tc>
        <w:tc>
          <w:tcPr/>
          <w:p>
            <w:pPr>
              <w:pStyle w:val="Compact"/>
            </w:pPr>
            <w:r>
              <w:t xml:space="preserve">recurrent + severity (11,425) / unspecified (3,013)</w:t>
            </w:r>
          </w:p>
        </w:tc>
        <w:tc>
          <w:tcPr/>
          <w:p>
            <w:pPr>
              <w:pStyle w:val="Compact"/>
            </w:pPr>
            <w:r>
              <w:t xml:space="preserve">recurrent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 / 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B: single-episode (28,141)</w:t>
            </w:r>
          </w:p>
        </w:tc>
        <w:tc>
          <w:tcPr/>
          <w:p>
            <w:pPr>
              <w:pStyle w:val="Compact"/>
            </w:pPr>
            <w:r>
              <w:t xml:space="preserve">sparse record (6,594) / populated record (21,547)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 / 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This layered reading reinforces the single-token interpretation rather than</w:t>
      </w:r>
      <w:r>
        <w:t xml:space="preserve"> </w:t>
      </w:r>
      <w:r>
        <w:t xml:space="preserve">complicating it. At the top level the encoder keys on the recurrence token, and the only</w:t>
      </w:r>
      <w:r>
        <w:t xml:space="preserve"> </w:t>
      </w:r>
      <w:r>
        <w:t xml:space="preserve">genuine finer structure is a further split of cluster A on recurrence phrasing, which is</w:t>
      </w:r>
      <w:r>
        <w:t xml:space="preserve"> </w:t>
      </w:r>
      <w:r>
        <w:t xml:space="preserve">again a surface-lexical axis. Where a candidate second split does not track clinical</w:t>
      </w:r>
      <w:r>
        <w:t xml:space="preserve"> </w:t>
      </w:r>
      <w:r>
        <w:t xml:space="preserve">content, as in cluster B, the silhouette correctly declines to support it and the</w:t>
      </w:r>
      <w:r>
        <w:t xml:space="preserve"> </w:t>
      </w:r>
      <w:r>
        <w:t xml:space="preserve">apparent mode reduces to how completely the record was filled in.</w:t>
      </w:r>
    </w:p>
    <w:p>
      <w:pPr>
        <w:pStyle w:val="BodyText"/>
      </w:pPr>
      <w:r>
        <w:t xml:space="preserve">Two things follow. The result is consistent with bge-small-en-v1.5 being the weakest</w:t>
      </w:r>
      <w:r>
        <w:t xml:space="preserve"> </w:t>
      </w:r>
      <w:r>
        <w:t xml:space="preserve">discriminator in the cross-embedder comparison of main-text Table 6. And it is a</w:t>
      </w:r>
      <w:r>
        <w:t xml:space="preserve"> </w:t>
      </w:r>
      <w:r>
        <w:t xml:space="preserve">cautionary note that a small sentence-transformer can organise its geometry around</w:t>
      </w:r>
      <w:r>
        <w:t xml:space="preserve"> </w:t>
      </w:r>
      <w:r>
        <w:t xml:space="preserve">individual surface tokens rather than around clinical content. The analysis is</w:t>
      </w:r>
      <w:r>
        <w:t xml:space="preserve"> </w:t>
      </w:r>
      <w:r>
        <w:t xml:space="preserve">descriptive, resting on k-means splits and binary token-presence rates, and it is</w:t>
      </w:r>
      <w:r>
        <w:t xml:space="preserve"> </w:t>
      </w:r>
      <w:r>
        <w:t xml:space="preserve">specific to this encoder. All primary analyses use Qwen3-Embedding-8B.</w:t>
      </w:r>
    </w:p>
    <w:bookmarkEnd w:id="91"/>
    <w:bookmarkStart w:id="92" w:name="X1191704807274f52b5afccad83367c158a72ea5"/>
    <w:p>
      <w:pPr>
        <w:pStyle w:val="Heading1"/>
      </w:pPr>
      <w:r>
        <w:t xml:space="preserve">Supplement S6. Example patient narratives</w:t>
      </w:r>
    </w:p>
    <w:p>
      <w:pPr>
        <w:pStyle w:val="FirstParagraph"/>
      </w:pPr>
      <w:r>
        <w:t xml:space="preserve">The embedded representation encodes a deterministically rendered Markdown narrative of</w:t>
      </w:r>
      <w:r>
        <w:t xml:space="preserve"> </w:t>
      </w:r>
      <w:r>
        <w:t xml:space="preserve">each patient’s pre-index window. To make the encoder’s input concrete, two representative</w:t>
      </w:r>
      <w:r>
        <w:t xml:space="preserve"> </w:t>
      </w:r>
      <w:r>
        <w:t xml:space="preserve">narratives are reproduced below, one TRD-positive and one TRD-negative. They were</w:t>
      </w:r>
      <w:r>
        <w:t xml:space="preserve"> </w:t>
      </w:r>
      <w:r>
        <w:t xml:space="preserve">extracted by</w:t>
      </w:r>
      <w:r>
        <w:t xml:space="preserve"> </w:t>
      </w:r>
      <w:r>
        <w:rPr>
          <w:rStyle w:val="VerbatimChar"/>
        </w:rPr>
        <w:t xml:space="preserve">scripts/pipeline/neighbors/narrative_audit.py</w:t>
      </w:r>
      <w:r>
        <w:t xml:space="preserve"> </w:t>
      </w:r>
      <w:r>
        <w:t xml:space="preserve">as the first patient by</w:t>
      </w:r>
      <w:r>
        <w:t xml:space="preserve"> </w:t>
      </w:r>
      <w:r>
        <w:t xml:space="preserve">sorted de-identified hash in each outcome class, with output written to</w:t>
      </w:r>
      <w:r>
        <w:t xml:space="preserve"> </w:t>
      </w:r>
      <w:r>
        <w:rPr>
          <w:rStyle w:val="VerbatimChar"/>
        </w:rPr>
        <w:t xml:space="preserve">results/Qwen-Qwen3-Embedding-8B/google_medgemma-27b-text-it/narrative_audit/</w:t>
      </w:r>
      <w:r>
        <w:t xml:space="preserve">. Each</w:t>
      </w:r>
      <w:r>
        <w:t xml:space="preserve"> </w:t>
      </w:r>
      <w:r>
        <w:t xml:space="preserve">narrative contains only structured EHR-derived fields, with no free text, names or direct</w:t>
      </w:r>
      <w:r>
        <w:t xml:space="preserve"> </w:t>
      </w:r>
      <w:r>
        <w:t xml:space="preserve">identifiers. Section headers and field order are fixed across all patients, absent</w:t>
      </w:r>
      <w:r>
        <w:t xml:space="preserve"> </w:t>
      </w:r>
      <w:r>
        <w:t xml:space="preserve">findings are rendered explicitly as</w:t>
      </w:r>
      <w:r>
        <w:t xml:space="preserve"> </w:t>
      </w:r>
      <w:r>
        <w:t xml:space="preserve">“Absent”</w:t>
      </w:r>
      <w:r>
        <w:t xml:space="preserve"> </w:t>
      </w:r>
      <w:r>
        <w:t xml:space="preserve">and unrecorded values as</w:t>
      </w:r>
      <w:r>
        <w:t xml:space="preserve"> </w:t>
      </w:r>
      <w:r>
        <w:t xml:space="preserve">“Missing”</w:t>
      </w:r>
      <w:r>
        <w:t xml:space="preserve">, so every</w:t>
      </w:r>
      <w:r>
        <w:t xml:space="preserve"> </w:t>
      </w:r>
      <w:r>
        <w:t xml:space="preserve">patient reaches the encoder through the same constant template.</w:t>
      </w:r>
    </w:p>
    <w:p>
      <w:pPr>
        <w:pStyle w:val="BodyText"/>
      </w:pPr>
      <w:r>
        <w:t xml:space="preserve">The renderer’s own field labels predate the manuscript’s terminology: where the</w:t>
      </w:r>
      <w:r>
        <w:t xml:space="preserve"> </w:t>
      </w:r>
      <w:r>
        <w:t xml:space="preserve">narrative prints</w:t>
      </w:r>
      <w:r>
        <w:t xml:space="preserve"> </w:t>
      </w:r>
      <w:r>
        <w:rPr>
          <w:rStyle w:val="VerbatimChar"/>
        </w:rPr>
        <w:t xml:space="preserve">MDD-to-anchor gap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Baseline window</w:t>
      </w:r>
      <w:r>
        <w:t xml:space="preserve">, the manuscript says</w:t>
      </w:r>
      <w:r>
        <w:t xml:space="preserve"> </w:t>
      </w:r>
      <w:r>
        <w:t xml:space="preserve">the MDD-to-index gap and the lookback window. The narratives are reproduced</w:t>
      </w:r>
      <w:r>
        <w:t xml:space="preserve"> </w:t>
      </w:r>
      <w:r>
        <w:t xml:space="preserve">exactly as the encoder received them and are not re-labelled here.</w:t>
      </w:r>
    </w:p>
    <w:p>
      <w:pPr>
        <w:pStyle w:val="BodyText"/>
      </w:pPr>
      <w:r>
        <w:t xml:space="preserve">Three things visible in these examples are not matched by the feature representation,</w:t>
      </w:r>
      <w:r>
        <w:t xml:space="preserve"> </w:t>
      </w:r>
      <w:r>
        <w:t xml:space="preserve">and all three are recorded as a limitation of the head-to-head comparison in the main</w:t>
      </w:r>
      <w:r>
        <w:t xml:space="preserve"> </w:t>
      </w:r>
      <w:r>
        <w:t xml:space="preserve">text and in Supplement S11: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PHYSICAL HEALTH</w:t>
      </w:r>
      <w:r>
        <w:t xml:space="preserve"> </w:t>
      </w:r>
      <w:r>
        <w:t xml:space="preserve">section renders the within-patient mean vital signs that were</w:t>
      </w:r>
      <w:r>
        <w:t xml:space="preserve"> </w:t>
      </w:r>
      <w:r>
        <w:t xml:space="preserve">dropped from the feature matrix at load time;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SOCIODEMOGRAPHICS / ACCESS</w:t>
      </w:r>
      <w:r>
        <w:t xml:space="preserve"> </w:t>
      </w:r>
      <w:r>
        <w:t xml:space="preserve">line renders a recorded sexual-orientation field that</w:t>
      </w:r>
      <w:r>
        <w:t xml:space="preserve"> </w:t>
      </w:r>
      <w:r>
        <w:t xml:space="preserve">is absent from the feature inventory entirely, and renders an unrecorded value there as</w:t>
      </w:r>
      <w:r>
        <w:t xml:space="preserve"> </w:t>
      </w:r>
      <w:r>
        <w:t xml:space="preserve">the literal token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rather than as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COHORT &amp; INDEX</w:t>
      </w:r>
      <w:r>
        <w:t xml:space="preserve"> </w:t>
      </w:r>
      <w:r>
        <w:t xml:space="preserve">line renders the index date, for which the feature representation</w:t>
      </w:r>
      <w:r>
        <w:t xml:space="preserve"> </w:t>
      </w:r>
      <w:r>
        <w:t xml:space="preserve">has no column.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MEDICATION BURDEN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TREATMENT EXPOSURE</w:t>
      </w:r>
      <w:r>
        <w:t xml:space="preserve"> </w:t>
      </w:r>
      <w:r>
        <w:t xml:space="preserve">sections also name individual</w:t>
      </w:r>
      <w:r>
        <w:t xml:space="preserve"> </w:t>
      </w:r>
      <w:r>
        <w:t xml:space="preserve">ingredients where the feature representation carries only their counts. The imbalance</w:t>
      </w:r>
      <w:r>
        <w:t xml:space="preserve"> </w:t>
      </w:r>
      <w:r>
        <w:t xml:space="preserve">runs the other way once: pre-index history length is a feature-representation column that</w:t>
      </w:r>
      <w:r>
        <w:t xml:space="preserve"> </w:t>
      </w:r>
      <w:r>
        <w:t xml:space="preserve">the narrative does not render.</w:t>
      </w:r>
    </w:p>
    <w:p>
      <w:pPr>
        <w:pStyle w:val="BodyText"/>
      </w:pPr>
      <w:r>
        <w:rPr>
          <w:b/>
          <w:bCs/>
        </w:rPr>
        <w:t xml:space="preserve">TRD-positive example.</w:t>
      </w:r>
    </w:p>
    <w:p>
      <w:pPr>
        <w:pStyle w:val="SourceCode"/>
      </w:pPr>
      <w:r>
        <w:rPr>
          <w:rStyle w:val="VerbatimChar"/>
        </w:rPr>
        <w:t xml:space="preserve">### COHORT &amp; INDEX</w:t>
      </w:r>
      <w:r>
        <w:br/>
      </w:r>
      <w:r>
        <w:rPr>
          <w:rStyle w:val="VerbatimChar"/>
        </w:rPr>
        <w:t xml:space="preserve">Condition: MDD (Dysthymia, Unspecified) | Index date: 2022-10-06 | Baseline window: -730...0 days | MDD-to-anchor gap: 57 days | Encounters in window: 34 | MDD within window: Present</w:t>
      </w:r>
      <w:r>
        <w:br/>
      </w:r>
      <w:r>
        <w:br/>
      </w:r>
      <w:r>
        <w:rPr>
          <w:rStyle w:val="VerbatimChar"/>
        </w:rPr>
        <w:t xml:space="preserve">### SOCIODEMOGRAPHICS / ACCESS</w:t>
      </w:r>
      <w:r>
        <w:br/>
      </w:r>
      <w:r>
        <w:rPr>
          <w:rStyle w:val="VerbatimChar"/>
        </w:rPr>
        <w:t xml:space="preserve">Sex: Male | PreferredLanguage: English | AgeInYears: 37 | SexualOrientation: nan | MaritalStatus: Married | Religion: Baptist | SmokingStatus: Never | Race_Ethnicity: American Indian or Alaska Native</w:t>
      </w:r>
      <w:r>
        <w:br/>
      </w:r>
      <w:r>
        <w:rPr>
          <w:rStyle w:val="VerbatimChar"/>
        </w:rPr>
        <w:t xml:space="preserve">SDOH: None Recorded</w:t>
      </w:r>
      <w:r>
        <w:br/>
      </w:r>
      <w:r>
        <w:br/>
      </w:r>
      <w:r>
        <w:rPr>
          <w:rStyle w:val="VerbatimChar"/>
        </w:rPr>
        <w:t xml:space="preserve">### PHYSICAL HEALTH</w:t>
      </w:r>
      <w:r>
        <w:br/>
      </w:r>
      <w:r>
        <w:rPr>
          <w:rStyle w:val="VerbatimChar"/>
        </w:rPr>
        <w:t xml:space="preserve">BMI: 29.8 | BP (mean): 140/88</w:t>
      </w:r>
      <w:r>
        <w:br/>
      </w:r>
      <w:r>
        <w:br/>
      </w:r>
      <w:r>
        <w:rPr>
          <w:rStyle w:val="VerbatimChar"/>
        </w:rPr>
        <w:t xml:space="preserve">### PSYCH HISTORY</w:t>
      </w:r>
      <w:r>
        <w:br/>
      </w:r>
      <w:r>
        <w:rPr>
          <w:rStyle w:val="VerbatimChar"/>
        </w:rPr>
        <w:t xml:space="preserve">SOCIAL_ANXIETY: Absent | OCD: Absent | ANXIETY: Present | ADJUSTMENT_DISORDER: Absent | PTSD: Absent | DYSTHYMIA: Present | SUD: Present | INSOMNIA: Present</w:t>
      </w:r>
      <w:r>
        <w:br/>
      </w:r>
      <w:r>
        <w:rPr>
          <w:rStyle w:val="VerbatimChar"/>
        </w:rPr>
        <w:t xml:space="preserve">SUICIDE FLAG (2y): Absent</w:t>
      </w:r>
      <w:r>
        <w:br/>
      </w:r>
      <w:r>
        <w:rPr>
          <w:rStyle w:val="VerbatimChar"/>
        </w:rPr>
        <w:t xml:space="preserve">SUBSTANCE ABUSE: Nicotine</w:t>
      </w:r>
      <w:r>
        <w:br/>
      </w:r>
      <w:r>
        <w:br/>
      </w:r>
      <w:r>
        <w:rPr>
          <w:rStyle w:val="VerbatimChar"/>
        </w:rPr>
        <w:t xml:space="preserve">### MEDICAL COMORBIDITY</w:t>
      </w:r>
      <w:r>
        <w:br/>
      </w:r>
      <w:r>
        <w:rPr>
          <w:rStyle w:val="VerbatimChar"/>
        </w:rPr>
        <w:t xml:space="preserve">CHRONIC_PAIN: Absent | HYPERLIPIDEMIA: Absent | THYROID: Absent | DIABETES: Present</w:t>
      </w:r>
      <w:r>
        <w:br/>
      </w:r>
      <w:r>
        <w:br/>
      </w:r>
      <w:r>
        <w:rPr>
          <w:rStyle w:val="VerbatimChar"/>
        </w:rPr>
        <w:t xml:space="preserve">### TREATMENT EXPOSURE</w:t>
      </w:r>
      <w:r>
        <w:br/>
      </w:r>
      <w:r>
        <w:rPr>
          <w:rStyle w:val="VerbatimChar"/>
        </w:rPr>
        <w:t xml:space="preserve">Prior adequate AD trials: MIRTAZAPINE: 0 | SSRI: 1 | VORTIOXETINE: 0 | BUPROPION: 0 | SNRI: 0</w:t>
      </w:r>
      <w:r>
        <w:br/>
      </w:r>
      <w:r>
        <w:rPr>
          <w:rStyle w:val="VerbatimChar"/>
        </w:rPr>
        <w:t xml:space="preserve">Benzodiazepine days (2y): 0</w:t>
      </w:r>
      <w:r>
        <w:br/>
      </w:r>
      <w:r>
        <w:rPr>
          <w:rStyle w:val="VerbatimChar"/>
        </w:rPr>
        <w:t xml:space="preserve">Hypnotics: eszopiclone</w:t>
      </w:r>
      <w:r>
        <w:br/>
      </w:r>
      <w:r>
        <w:rPr>
          <w:rStyle w:val="VerbatimChar"/>
        </w:rPr>
        <w:t xml:space="preserve">Augmentation: Absent</w:t>
      </w:r>
      <w:r>
        <w:br/>
      </w:r>
      <w:r>
        <w:br/>
      </w:r>
      <w:r>
        <w:rPr>
          <w:rStyle w:val="VerbatimChar"/>
        </w:rPr>
        <w:t xml:space="preserve">### MEDICATION BURDEN</w:t>
      </w:r>
      <w:r>
        <w:br/>
      </w:r>
      <w:r>
        <w:rPr>
          <w:rStyle w:val="VerbatimChar"/>
        </w:rPr>
        <w:t xml:space="preserve">Active meds at baseline: 0 (Absent)</w:t>
      </w:r>
      <w:r>
        <w:br/>
      </w:r>
      <w:r>
        <w:rPr>
          <w:rStyle w:val="VerbatimChar"/>
        </w:rPr>
        <w:t xml:space="preserve">NSAID burden: 0 (Absent)</w:t>
      </w:r>
      <w:r>
        <w:br/>
      </w:r>
      <w:r>
        <w:br/>
      </w:r>
      <w:r>
        <w:rPr>
          <w:rStyle w:val="VerbatimChar"/>
        </w:rPr>
        <w:t xml:space="preserve">### UTILIZATION</w:t>
      </w:r>
      <w:r>
        <w:br/>
      </w:r>
      <w:r>
        <w:rPr>
          <w:rStyle w:val="VerbatimChar"/>
        </w:rPr>
        <w:t xml:space="preserve">Psych inpatient days: 0 (2y) | ED psych visits: 0 (2y)</w:t>
      </w:r>
      <w:r>
        <w:br/>
      </w:r>
      <w:r>
        <w:br/>
      </w:r>
      <w:r>
        <w:rPr>
          <w:rStyle w:val="VerbatimChar"/>
        </w:rPr>
        <w:t xml:space="preserve">### SAFETY</w:t>
      </w:r>
      <w:r>
        <w:br/>
      </w:r>
      <w:r>
        <w:rPr>
          <w:rStyle w:val="VerbatimChar"/>
        </w:rPr>
        <w:t xml:space="preserve">UNCONTROLLED_HTN: Present | EPILEPSY: Absent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TRD-negative example.</w:t>
      </w:r>
    </w:p>
    <w:p>
      <w:pPr>
        <w:pStyle w:val="SourceCode"/>
      </w:pPr>
      <w:r>
        <w:rPr>
          <w:rStyle w:val="VerbatimChar"/>
        </w:rPr>
        <w:t xml:space="preserve">### COHORT &amp; INDEX</w:t>
      </w:r>
      <w:r>
        <w:br/>
      </w:r>
      <w:r>
        <w:rPr>
          <w:rStyle w:val="VerbatimChar"/>
        </w:rPr>
        <w:t xml:space="preserve">Condition: MDD (Recurrent, Moderate) | Index date: 2025-05-09 | Baseline window: -730...0 days | MDD-to-anchor gap: 0 days | Encounters in window: 2 | MDD within window: Present</w:t>
      </w:r>
      <w:r>
        <w:br/>
      </w:r>
      <w:r>
        <w:br/>
      </w:r>
      <w:r>
        <w:rPr>
          <w:rStyle w:val="VerbatimChar"/>
        </w:rPr>
        <w:t xml:space="preserve">### SOCIODEMOGRAPHICS / ACCESS</w:t>
      </w:r>
      <w:r>
        <w:br/>
      </w:r>
      <w:r>
        <w:rPr>
          <w:rStyle w:val="VerbatimChar"/>
        </w:rPr>
        <w:t xml:space="preserve">Sex: Female | PreferredLanguage: English | AgeInYears: 52 | SexualOrientation: nan | MaritalStatus: Single | Religion: Baptist | SmokingStatus: Every Day | Race_Ethnicity: White or Caucasian</w:t>
      </w:r>
      <w:r>
        <w:br/>
      </w:r>
      <w:r>
        <w:rPr>
          <w:rStyle w:val="VerbatimChar"/>
        </w:rPr>
        <w:t xml:space="preserve">SDOH: None Recorded</w:t>
      </w:r>
      <w:r>
        <w:br/>
      </w:r>
      <w:r>
        <w:br/>
      </w:r>
      <w:r>
        <w:rPr>
          <w:rStyle w:val="VerbatimChar"/>
        </w:rPr>
        <w:t xml:space="preserve">### PHYSICAL HEALTH</w:t>
      </w:r>
      <w:r>
        <w:br/>
      </w:r>
      <w:r>
        <w:rPr>
          <w:rStyle w:val="VerbatimChar"/>
        </w:rPr>
        <w:t xml:space="preserve">BMI: 35.6 | BP (mean): 138/86</w:t>
      </w:r>
      <w:r>
        <w:br/>
      </w:r>
      <w:r>
        <w:br/>
      </w:r>
      <w:r>
        <w:rPr>
          <w:rStyle w:val="VerbatimChar"/>
        </w:rPr>
        <w:t xml:space="preserve">### PSYCH HISTORY</w:t>
      </w:r>
      <w:r>
        <w:br/>
      </w:r>
      <w:r>
        <w:rPr>
          <w:rStyle w:val="VerbatimChar"/>
        </w:rPr>
        <w:t xml:space="preserve">SOCIAL_ANXIETY: Absent | OCD: Absent | ANXIETY: Present | ADJUSTMENT_DISORDER: Absent | PTSD: Absent | DYSTHYMIA: Absent | SUD: Present | INSOMNIA: Absent</w:t>
      </w:r>
      <w:r>
        <w:br/>
      </w:r>
      <w:r>
        <w:rPr>
          <w:rStyle w:val="VerbatimChar"/>
        </w:rPr>
        <w:t xml:space="preserve">SUICIDE FLAG (2y): Absent</w:t>
      </w:r>
      <w:r>
        <w:br/>
      </w:r>
      <w:r>
        <w:rPr>
          <w:rStyle w:val="VerbatimChar"/>
        </w:rPr>
        <w:t xml:space="preserve">SUBSTANCE ABUSE: Nicotine</w:t>
      </w:r>
      <w:r>
        <w:br/>
      </w:r>
      <w:r>
        <w:br/>
      </w:r>
      <w:r>
        <w:rPr>
          <w:rStyle w:val="VerbatimChar"/>
        </w:rPr>
        <w:t xml:space="preserve">### MEDICAL COMORBIDITY</w:t>
      </w:r>
      <w:r>
        <w:br/>
      </w:r>
      <w:r>
        <w:rPr>
          <w:rStyle w:val="VerbatimChar"/>
        </w:rPr>
        <w:t xml:space="preserve">CHRONIC_PAIN: Absent | HYPERLIPIDEMIA: Absent | THYROID: Absent | DIABETES: Absent</w:t>
      </w:r>
      <w:r>
        <w:br/>
      </w:r>
      <w:r>
        <w:br/>
      </w:r>
      <w:r>
        <w:rPr>
          <w:rStyle w:val="VerbatimChar"/>
        </w:rPr>
        <w:t xml:space="preserve">### TREATMENT EXPOSURE</w:t>
      </w:r>
      <w:r>
        <w:br/>
      </w:r>
      <w:r>
        <w:rPr>
          <w:rStyle w:val="VerbatimChar"/>
        </w:rPr>
        <w:t xml:space="preserve">Prior adequate AD trials: MIRTAZAPINE: 0 | SSRI: 0 | VORTIOXETINE: 0 | BUPROPION: 0 | SNRI: 0</w:t>
      </w:r>
      <w:r>
        <w:br/>
      </w:r>
      <w:r>
        <w:rPr>
          <w:rStyle w:val="VerbatimChar"/>
        </w:rPr>
        <w:t xml:space="preserve">Benzodiazepine days (2y): 0</w:t>
      </w:r>
      <w:r>
        <w:br/>
      </w:r>
      <w:r>
        <w:rPr>
          <w:rStyle w:val="VerbatimChar"/>
        </w:rPr>
        <w:t xml:space="preserve">Hypnotics: Absent</w:t>
      </w:r>
      <w:r>
        <w:br/>
      </w:r>
      <w:r>
        <w:rPr>
          <w:rStyle w:val="VerbatimChar"/>
        </w:rPr>
        <w:t xml:space="preserve">Augmentation: Absent</w:t>
      </w:r>
      <w:r>
        <w:br/>
      </w:r>
      <w:r>
        <w:br/>
      </w:r>
      <w:r>
        <w:rPr>
          <w:rStyle w:val="VerbatimChar"/>
        </w:rPr>
        <w:t xml:space="preserve">### MEDICATION BURDEN</w:t>
      </w:r>
      <w:r>
        <w:br/>
      </w:r>
      <w:r>
        <w:rPr>
          <w:rStyle w:val="VerbatimChar"/>
        </w:rPr>
        <w:t xml:space="preserve">Active meds at baseline: 0 (Absent)</w:t>
      </w:r>
      <w:r>
        <w:br/>
      </w:r>
      <w:r>
        <w:rPr>
          <w:rStyle w:val="VerbatimChar"/>
        </w:rPr>
        <w:t xml:space="preserve">NSAID burden: 0 (Absent)</w:t>
      </w:r>
      <w:r>
        <w:br/>
      </w:r>
      <w:r>
        <w:br/>
      </w:r>
      <w:r>
        <w:rPr>
          <w:rStyle w:val="VerbatimChar"/>
        </w:rPr>
        <w:t xml:space="preserve">### UTILIZATION</w:t>
      </w:r>
      <w:r>
        <w:br/>
      </w:r>
      <w:r>
        <w:rPr>
          <w:rStyle w:val="VerbatimChar"/>
        </w:rPr>
        <w:t xml:space="preserve">Psych inpatient days: 0 (2y) | ED psych visits: 0 (2y)</w:t>
      </w:r>
      <w:r>
        <w:br/>
      </w:r>
      <w:r>
        <w:br/>
      </w:r>
      <w:r>
        <w:rPr>
          <w:rStyle w:val="VerbatimChar"/>
        </w:rPr>
        <w:t xml:space="preserve">### SAFETY</w:t>
      </w:r>
      <w:r>
        <w:br/>
      </w:r>
      <w:r>
        <w:rPr>
          <w:rStyle w:val="VerbatimChar"/>
        </w:rPr>
        <w:t xml:space="preserve">UNCONTROLLED_HTN: Present | EPILEPSY: Absent</w:t>
      </w:r>
    </w:p>
    <w:bookmarkEnd w:id="92"/>
    <w:bookmarkStart w:id="93" w:name="X8fd4b4fe8acc21ef03a5a58823686f0f5366648"/>
    <w:p>
      <w:pPr>
        <w:pStyle w:val="Heading1"/>
      </w:pPr>
      <w:r>
        <w:t xml:space="preserve">Supplement S8. Discrimination stratified by length of pre-index history</w:t>
      </w:r>
    </w:p>
    <w:p>
      <w:pPr>
        <w:pStyle w:val="FirstParagraph"/>
      </w:pPr>
      <w:r>
        <w:t xml:space="preserve">The main text tests the volume and recency confound by correlating the TRD label with</w:t>
      </w:r>
      <w:r>
        <w:t xml:space="preserve"> </w:t>
      </w:r>
      <w:r>
        <w:t xml:space="preserve">three proxies for how much data a patient has, and finds all three associations weak and</w:t>
      </w:r>
      <w:r>
        <w:t xml:space="preserve"> </w:t>
      </w:r>
      <w:r>
        <w:t xml:space="preserve">negative. That test asks whether the</w:t>
      </w:r>
      <w:r>
        <w:t xml:space="preserve"> </w:t>
      </w:r>
      <w:r>
        <w:rPr>
          <w:i/>
          <w:iCs/>
        </w:rPr>
        <w:t xml:space="preserve">outcome</w:t>
      </w:r>
      <w:r>
        <w:t xml:space="preserve"> </w:t>
      </w:r>
      <w:r>
        <w:t xml:space="preserve">tracks data volume. This section asks the</w:t>
      </w:r>
      <w:r>
        <w:t xml:space="preserve"> </w:t>
      </w:r>
      <w:r>
        <w:t xml:space="preserve">stronger question: whether</w:t>
      </w:r>
      <w:r>
        <w:t xml:space="preserve"> </w:t>
      </w:r>
      <w:r>
        <w:rPr>
          <w:i/>
          <w:iCs/>
        </w:rPr>
        <w:t xml:space="preserve">discrimination</w:t>
      </w:r>
      <w:r>
        <w:t xml:space="preserve"> </w:t>
      </w:r>
      <w:r>
        <w:t xml:space="preserve">tracks it. That is what one would expect if</w:t>
      </w:r>
      <w:r>
        <w:t xml:space="preserve"> </w:t>
      </w:r>
      <w:r>
        <w:t xml:space="preserve">the predictor were partly reading data volume rather than clinical content.</w:t>
      </w:r>
    </w:p>
    <w:p>
      <w:pPr>
        <w:pStyle w:val="BodyText"/>
      </w:pPr>
      <w:r>
        <w:t xml:space="preserve">The held-out test set was divided into quintiles of pre-index history length and the</w:t>
      </w:r>
      <w:r>
        <w:t xml:space="preserve"> </w:t>
      </w:r>
      <w:r>
        <w:t xml:space="preserve">neighbour-weighted predictor scored within each. The nearest-retrieval, judge-weighted</w:t>
      </w:r>
      <w:r>
        <w:t xml:space="preserve"> </w:t>
      </w:r>
      <w:r>
        <w:t xml:space="preserve">arm is reported in Table S7, and the pattern is the same for the other weighting</w:t>
      </w:r>
      <w:r>
        <w:t xml:space="preserve"> </w:t>
      </w:r>
      <w:r>
        <w:t xml:space="preserve">strategies.</w:t>
      </w:r>
    </w:p>
    <w:p>
      <w:pPr>
        <w:pStyle w:val="BodyText"/>
      </w:pPr>
      <w:r>
        <w:rPr>
          <w:b/>
          <w:bCs/>
          <w:i/>
          <w:iCs/>
        </w:rPr>
        <w:t xml:space="preserve">Table S7.</w:t>
      </w:r>
      <w:r>
        <w:rPr>
          <w:i/>
          <w:iCs/>
        </w:rPr>
        <w:t xml:space="preserve"> </w:t>
      </w:r>
      <w:r>
        <w:rPr>
          <w:i/>
          <w:iCs/>
        </w:rPr>
        <w:t xml:space="preserve">Neighbor-weighted discrimination by quintile of pre-index</w:t>
      </w:r>
      <w:r>
        <w:rPr>
          <w:i/>
          <w:iCs/>
        </w:rPr>
        <w:t xml:space="preserve"> </w:t>
      </w:r>
      <w:r>
        <w:rPr>
          <w:i/>
          <w:iCs/>
        </w:rPr>
        <w:t xml:space="preserve">history length (nearest retrieval, LLM weighting, embedded representation,</w:t>
      </w:r>
      <w:r>
        <w:rPr>
          <w:i/>
          <w:iCs/>
        </w:rPr>
        <w:t xml:space="preserve"> </w:t>
      </w:r>
      <w:r>
        <w:rPr>
          <w:i/>
          <w:iCs/>
        </w:rPr>
        <w:t xml:space="preserve">held-out test set). Quintile bounds are in days of pre-index history.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Pre-index history (days)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Patients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ROC AUC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731–1,110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1,110–1,554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1,554–2,066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2,066–2,733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2,733–5,288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0.579</w:t>
            </w:r>
          </w:p>
        </w:tc>
      </w:tr>
    </w:tbl>
    <w:p>
      <w:pPr>
        <w:pStyle w:val="BodyText"/>
      </w:pPr>
      <w:r>
        <w:t xml:space="preserve">Discrimination is flat across the range. The spread between best and worst quintile is</w:t>
      </w:r>
      <w:r>
        <w:t xml:space="preserve"> </w:t>
      </w:r>
      <w:r>
        <w:t xml:space="preserve">0.041 ROC AUC with no monotone trend, across a span of history length that varies more</w:t>
      </w:r>
      <w:r>
        <w:t xml:space="preserve"> </w:t>
      </w:r>
      <w:r>
        <w:t xml:space="preserve">than fourfold from the shortest quintile to the longest. Had the predictor been</w:t>
      </w:r>
      <w:r>
        <w:t xml:space="preserve"> </w:t>
      </w:r>
      <w:r>
        <w:t xml:space="preserve">exploiting record volume, discrimination should have risen with it. It does not.</w:t>
      </w:r>
    </w:p>
    <w:p>
      <w:pPr>
        <w:pStyle w:val="BodyText"/>
      </w:pPr>
      <w:r>
        <w:t xml:space="preserve">Two limits attach to this analysis. It covers the neighbour-weighted arm only rather</w:t>
      </w:r>
      <w:r>
        <w:t xml:space="preserve"> </w:t>
      </w:r>
      <w:r>
        <w:t xml:space="preserve">than the trained classifiers that carry the main comparison, because the stratification</w:t>
      </w:r>
      <w:r>
        <w:t xml:space="preserve"> </w:t>
      </w:r>
      <w:r>
        <w:t xml:space="preserve">was computed over the neighbour predictions. And each quintile holds roughly 1,700</w:t>
      </w:r>
      <w:r>
        <w:t xml:space="preserve"> </w:t>
      </w:r>
      <w:r>
        <w:t xml:space="preserve">patients, so the per-quintile estimates are individually imprecise and the claim rests on</w:t>
      </w:r>
      <w:r>
        <w:t xml:space="preserve"> </w:t>
      </w:r>
      <w:r>
        <w:t xml:space="preserve">the absence of a trend rather than on any single value. A parallel stratification by</w:t>
      </w:r>
      <w:r>
        <w:t xml:space="preserve"> </w:t>
      </w:r>
      <w:r>
        <w:t xml:space="preserve">embedding-neighbourhood density was computed and is not reported: the density</w:t>
      </w:r>
      <w:r>
        <w:t xml:space="preserve"> </w:t>
      </w:r>
      <w:r>
        <w:t xml:space="preserve">distribution is concentrated enough that three of its five bins were empty, leaving too</w:t>
      </w:r>
      <w:r>
        <w:t xml:space="preserve"> </w:t>
      </w:r>
      <w:r>
        <w:t xml:space="preserve">little coverage to interpret.</w:t>
      </w:r>
    </w:p>
    <w:bookmarkEnd w:id="93"/>
    <w:bookmarkStart w:id="94" w:name="X094ff01d7ca4604f77a9bed6ab14753f1adbba0"/>
    <w:p>
      <w:pPr>
        <w:pStyle w:val="Heading1"/>
      </w:pPr>
      <w:r>
        <w:t xml:space="preserve">Supplement S9. The held-out set against the training set</w:t>
      </w:r>
    </w:p>
    <w:p>
      <w:pPr>
        <w:pStyle w:val="FirstParagraph"/>
      </w:pPr>
      <w:r>
        <w:t xml:space="preserve">The main text reports the split’s sizes and outcome counts and states that every</w:t>
      </w:r>
      <w:r>
        <w:t xml:space="preserve"> </w:t>
      </w:r>
      <w:r>
        <w:t xml:space="preserve">per-predictor standardized mean difference is small. This section shows the distributions</w:t>
      </w:r>
      <w:r>
        <w:t xml:space="preserve"> </w:t>
      </w:r>
      <w:r>
        <w:t xml:space="preserve">behind that statement, because a claim about comparability that is asserted rather than</w:t>
      </w:r>
      <w:r>
        <w:t xml:space="preserve"> </w:t>
      </w:r>
      <w:r>
        <w:t xml:space="preserve">displayed cannot be checked by a reader.</w:t>
      </w:r>
    </w:p>
    <w:p>
      <w:pPr>
        <w:pStyle w:val="BodyText"/>
      </w:pPr>
      <w:r>
        <w:t xml:space="preserve">The split is the frozen stratified 80/20 split every evaluation in this paper uses.</w:t>
      </w:r>
      <w:r>
        <w:t xml:space="preserve"> </w:t>
      </w:r>
      <w:r>
        <w:t xml:space="preserve">Nothing was refit or re-split to produce this table, and the standardized mean</w:t>
      </w:r>
      <w:r>
        <w:t xml:space="preserve"> </w:t>
      </w:r>
      <w:r>
        <w:t xml:space="preserve">differences use the same pooled-standard-deviation definition as main-text Table 1, so</w:t>
      </w:r>
      <w:r>
        <w:t xml:space="preserve"> </w:t>
      </w:r>
      <w:r>
        <w:t xml:space="preserve">the two tables are directly comparable.</w:t>
      </w:r>
    </w:p>
    <w:p>
      <w:pPr>
        <w:pStyle w:val="BodyText"/>
      </w:pPr>
      <w:r>
        <w:t xml:space="preserve">Over the 100 predictor rows the largest absolute value is 0.036, and no row reaches the</w:t>
      </w:r>
      <w:r>
        <w:t xml:space="preserve"> </w:t>
      </w:r>
      <w:r>
        <w:t xml:space="preserve">conventional 0.1 threshold for a non-trivial imbalance. The maximum sits on a</w:t>
      </w:r>
      <w:r>
        <w:t xml:space="preserve"> </w:t>
      </w:r>
      <w:r>
        <w:t xml:space="preserve">social-determinant flag recorded for 22 training patients and none of the held-out</w:t>
      </w:r>
      <w:r>
        <w:t xml:space="preserve"> </w:t>
      </w:r>
      <w:r>
        <w:t xml:space="preserve">patients. That is a small-cell artifact rather than a distributional difference: the</w:t>
      </w:r>
      <w:r>
        <w:t xml:space="preserve"> </w:t>
      </w:r>
      <w:r>
        <w:t xml:space="preserve">flag’s prevalence is 0.1% in the arm that has it. The outcome rate matches by</w:t>
      </w:r>
      <w:r>
        <w:t xml:space="preserve"> </w:t>
      </w:r>
      <w:r>
        <w:t xml:space="preserve">construction, the split having been stratified on it, and is therefore not evidence of</w:t>
      </w:r>
      <w:r>
        <w:t xml:space="preserve"> </w:t>
      </w:r>
      <w:r>
        <w:t xml:space="preserve">anything.</w:t>
      </w:r>
    </w:p>
    <w:p>
      <w:pPr>
        <w:pStyle w:val="BodyText"/>
      </w:pPr>
      <w:r>
        <w:rPr>
          <w:b/>
          <w:bCs/>
          <w:i/>
          <w:iCs/>
        </w:rPr>
        <w:t xml:space="preserve">Table S8.</w:t>
      </w:r>
      <w:r>
        <w:rPr>
          <w:i/>
          <w:iCs/>
        </w:rPr>
        <w:t xml:space="preserve"> </w:t>
      </w:r>
      <w:r>
        <w:rPr>
          <w:i/>
          <w:iCs/>
        </w:rPr>
        <w:t xml:space="preserve">Held-out patients against training patients on the characteristics</w:t>
      </w:r>
      <w:r>
        <w:rPr>
          <w:i/>
          <w:iCs/>
        </w:rPr>
        <w:t xml:space="preserve"> </w:t>
      </w:r>
      <w:r>
        <w:rPr>
          <w:i/>
          <w:iCs/>
        </w:rPr>
        <w:t xml:space="preserve">reported in main-text Table 1. Continuous variables are median with interquartile range,</w:t>
      </w:r>
      <w:r>
        <w:rPr>
          <w:i/>
          <w:iCs/>
        </w:rPr>
        <w:t xml:space="preserve"> </w:t>
      </w:r>
      <w:r>
        <w:rPr>
          <w:i/>
          <w:iCs/>
        </w:rPr>
        <w:t xml:space="preserve">and categorical and boolean entries are n with per cent. SMD is training minus held-out,</w:t>
      </w:r>
      <w:r>
        <w:rPr>
          <w:i/>
          <w:iCs/>
        </w:rPr>
        <w:t xml:space="preserve"> </w:t>
      </w:r>
      <w:r>
        <w:rPr>
          <w:i/>
          <w:iCs/>
        </w:rPr>
        <w:t xml:space="preserve">in pooled standard deviations. Vital signs are shown because they describe the cohort.</w:t>
      </w:r>
      <w:r>
        <w:rPr>
          <w:i/>
          <w:iCs/>
        </w:rPr>
        <w:t xml:space="preserve"> </w:t>
      </w:r>
      <w:r>
        <w:rPr>
          <w:i/>
          <w:iCs/>
        </w:rPr>
        <w:t xml:space="preserve">They are rendered only in the narrative representation and are absent from the feature</w:t>
      </w:r>
      <w:r>
        <w:rPr>
          <w:i/>
          <w:iCs/>
        </w:rPr>
        <w:t xml:space="preserve"> </w:t>
      </w:r>
      <w:r>
        <w:rPr>
          <w:i/>
          <w:iCs/>
        </w:rPr>
        <w:t xml:space="preserve">matrix as published, as Supplement S11 records.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Characteristic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Training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Held-out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Demographics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Age (years)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 (38-70)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 (38-70)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band: 18-29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4,428 (13.0%)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1,085 (12.7%)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band: 30-44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7,198 (21.1%)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1,827 (21.5%)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band: 45-64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10,632 (31.2%)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2,636 (31.0%)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band: 65+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11,805 (34.7%)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2,968 (34.9%)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Sex: Female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24,682 (72.5%)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6,168 (72.4%)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Race: White/Caucasian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27,244 (80.0%)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6,835 (80.3%)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Race: Black/African American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1,894 (5.6%)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474 (5.6%)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Race: Am. Indian/Alaska Native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1,637 (4.8%)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396 (4.7%)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Race: 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 (0.7%)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 (0.6%)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Language: English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33,698 (98.9%)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8,425 (98.9%)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Depression phenotype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MDD recurrence: Recurrent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9,036 (26.5%)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2,177 (25.6%)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MDD severity: Severe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1,818 (5.3%)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468 (5.5%)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MDD severity: Moderate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5,807 (17.0%)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1,426 (16.7%)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Psychiatric and substance comorbidity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Suicidality flagged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1,392 (4.1%)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361 (4.2%)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 disorder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17,975 (52.8%)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4,426 (52.0%)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Substance use disorder (any)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7,472 (21.9%)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1,793 (21.1%)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Insomnia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7,452 (21.9%)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1,898 (22.3%)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1,241 (3.6%)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 (3.5%)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Alcohol use disorder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1,523 (4.5%)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352 (4.1%)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Medical comorbidity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High cholesterol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12,591 (37.0%)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3,156 (37.1%)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Uncontrolled hypertension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12,544 (36.8%)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3,136 (36.8%)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Vital signs (narrative only)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 (25-35)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 (25-35)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Systolic BP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 (118-136)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 (118-136)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BMI: not recorded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7,484 (22.0%)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1,911 (22.4%)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Treatment and utilization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Active med 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(0-2)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(0-2)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Encounter 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 (8-46)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(8-47)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Pre-index history (days)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1792 (1213-2547)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1797 (1222-2541)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 adequate AD trial (any class)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5,014 (14.7%)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1,262 (14.8%)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Benzodiazepine days recorded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3,775 (11.1%)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949 (11.1%)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Hypnotic recorded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1,319 (3.9%)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342 (4.0%)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Augmentation therapy used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326 (1.0%)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 (1.1%)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-0.017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this does and does not establish.</w:t>
      </w:r>
      <w:r>
        <w:t xml:space="preserve"> </w:t>
      </w:r>
      <w:r>
        <w:t xml:space="preserve">It establishes that the patients the models</w:t>
      </w:r>
      <w:r>
        <w:t xml:space="preserve"> </w:t>
      </w:r>
      <w:r>
        <w:t xml:space="preserve">were scored on are distributionally interchangeable with the patients they were trained</w:t>
      </w:r>
      <w:r>
        <w:t xml:space="preserve"> </w:t>
      </w:r>
      <w:r>
        <w:t xml:space="preserve">on, so the reported discrimination is not an artifact of an unrepresentative evaluation</w:t>
      </w:r>
      <w:r>
        <w:t xml:space="preserve"> </w:t>
      </w:r>
      <w:r>
        <w:t xml:space="preserve">sample.</w:t>
      </w:r>
    </w:p>
    <w:p>
      <w:pPr>
        <w:pStyle w:val="BodyText"/>
      </w:pPr>
      <w:r>
        <w:t xml:space="preserve">It establishes nothing about representativeness of any wider population. The delivered</w:t>
      </w:r>
      <w:r>
        <w:t xml:space="preserve"> </w:t>
      </w:r>
      <w:r>
        <w:t xml:space="preserve">extract is case-enriched by design and both halves of the split inherit that enrichment</w:t>
      </w:r>
      <w:r>
        <w:t xml:space="preserve"> </w:t>
      </w:r>
      <w:r>
        <w:t xml:space="preserve">equally, and a table comparing two halves of a selected cohort cannot detect the</w:t>
      </w:r>
      <w:r>
        <w:t xml:space="preserve"> </w:t>
      </w:r>
      <w:r>
        <w:t xml:space="preserve">selection they share. The calibration reported in this paper remains calibration to this</w:t>
      </w:r>
      <w:r>
        <w:t xml:space="preserve"> </w:t>
      </w:r>
      <w:r>
        <w:t xml:space="preserve">cohort’s own base rate, and the limitation stands as written.</w:t>
      </w:r>
    </w:p>
    <w:bookmarkEnd w:id="94"/>
    <w:bookmarkStart w:id="102" w:name="X2acbaebe20bc75e258fbbb0f2f5674287130f53"/>
    <w:p>
      <w:pPr>
        <w:pStyle w:val="Heading1"/>
      </w:pPr>
      <w:r>
        <w:t xml:space="preserve">Supplement S10. Subgroup discrimination and calibration</w:t>
      </w:r>
    </w:p>
    <w:p>
      <w:pPr>
        <w:pStyle w:val="FirstParagraph"/>
      </w:pPr>
      <w:r>
        <w:t xml:space="preserve">This paper makes no fairness claim. The permutation slate it reports measures how much a</w:t>
      </w:r>
      <w:r>
        <w:t xml:space="preserve"> </w:t>
      </w:r>
      <w:r>
        <w:t xml:space="preserve">model’s discrimination depends on a concept being present in its input, which is a</w:t>
      </w:r>
      <w:r>
        <w:t xml:space="preserve"> </w:t>
      </w:r>
      <w:r>
        <w:t xml:space="preserve">different question from whether performance is even across groups. This section reports</w:t>
      </w:r>
      <w:r>
        <w:t xml:space="preserve"> </w:t>
      </w:r>
      <w:r>
        <w:t xml:space="preserve">the subgroup evidence itself.</w:t>
      </w:r>
    </w:p>
    <w:bookmarkStart w:id="95" w:name="s10.1-design"/>
    <w:p>
      <w:pPr>
        <w:pStyle w:val="Heading2"/>
      </w:pPr>
      <w:r>
        <w:t xml:space="preserve">S10.1 Design</w:t>
      </w:r>
    </w:p>
    <w:p>
      <w:pPr>
        <w:pStyle w:val="FirstParagraph"/>
      </w:pPr>
      <w:r>
        <w:rPr>
          <w:b/>
          <w:bCs/>
        </w:rPr>
        <w:t xml:space="preserve">Nothing was refit.</w:t>
      </w:r>
      <w:r>
        <w:t xml:space="preserve"> </w:t>
      </w:r>
      <w:r>
        <w:t xml:space="preserve">The per-patient held-out predicted probabilities the pipeline</w:t>
      </w:r>
      <w:r>
        <w:t xml:space="preserve"> </w:t>
      </w:r>
      <w:r>
        <w:t xml:space="preserve">persists were partitioned by stratum, and discrimination and calibration recomputed</w:t>
      </w:r>
      <w:r>
        <w:t xml:space="preserve"> </w:t>
      </w:r>
      <w:r>
        <w:t xml:space="preserve">inside each group. Subsetting a per-patient prediction vector is arithmetically</w:t>
      </w:r>
      <w:r>
        <w:t xml:space="preserve"> </w:t>
      </w:r>
      <w:r>
        <w:t xml:space="preserve">identical to scoring that model on the subset, so no published number can drift.</w:t>
      </w:r>
      <w:r>
        <w:t xml:space="preserve"> </w:t>
      </w:r>
      <w:r>
        <w:t xml:space="preserve">Refitting within a subgroup would answer a different question, namely how a model</w:t>
      </w:r>
      <w:r>
        <w:t xml:space="preserve"> </w:t>
      </w:r>
      <w:r>
        <w:t xml:space="preserve">trained only on one group predicts that group, and it would break comparability with</w:t>
      </w:r>
      <w:r>
        <w:t xml:space="preserve"> </w:t>
      </w:r>
      <w:r>
        <w:t xml:space="preserve">everything else reported.</w:t>
      </w:r>
    </w:p>
    <w:p>
      <w:pPr>
        <w:pStyle w:val="BodyText"/>
      </w:pPr>
      <w:r>
        <w:rPr>
          <w:b/>
          <w:bCs/>
        </w:rPr>
        <w:t xml:space="preserve">All three prediction arms are covered</w:t>
      </w:r>
      <w:r>
        <w:t xml:space="preserve">, not only the classifiers. The embedded and</w:t>
      </w:r>
      <w:r>
        <w:t xml:space="preserve"> </w:t>
      </w:r>
      <w:r>
        <w:t xml:space="preserve">feature arms contribute their four classifiers each, and the neighbour-weighted arm</w:t>
      </w:r>
      <w:r>
        <w:t xml:space="preserve"> </w:t>
      </w:r>
      <w:r>
        <w:t xml:space="preserve">contributes its sixteen retrieval-scheme by weighting-strategy configurations. Only the</w:t>
      </w:r>
      <w:r>
        <w:t xml:space="preserve"> </w:t>
      </w:r>
      <w:r>
        <w:t xml:space="preserve">four nearest-retrieval configurations are</w:t>
      </w:r>
      <w:r>
        <w:t xml:space="preserve"> </w:t>
      </w:r>
      <w:r>
        <w:rPr>
          <w:i/>
          <w:iCs/>
        </w:rPr>
        <w:t xml:space="preserve">contrasted</w:t>
      </w:r>
      <w:r>
        <w:t xml:space="preserve"> </w:t>
      </w:r>
      <w:r>
        <w:t xml:space="preserve">across groups. Whether a</w:t>
      </w:r>
      <w:r>
        <w:t xml:space="preserve"> </w:t>
      </w:r>
      <w:r>
        <w:t xml:space="preserve">deliberately uninformative retrieval scheme is evenly uninformative across subgroups is</w:t>
      </w:r>
      <w:r>
        <w:t xml:space="preserve"> </w:t>
      </w:r>
      <w:r>
        <w:t xml:space="preserve">not a fairness question, and including the negative controls would triple the</w:t>
      </w:r>
      <w:r>
        <w:t xml:space="preserve"> </w:t>
      </w:r>
      <w:r>
        <w:t xml:space="preserve">multiplicity burden on the contrasts that are.</w:t>
      </w:r>
    </w:p>
    <w:p>
      <w:pPr>
        <w:pStyle w:val="BodyText"/>
      </w:pPr>
      <w:r>
        <w:rPr>
          <w:b/>
          <w:bCs/>
        </w:rPr>
        <w:t xml:space="preserve">Strata.</w:t>
      </w:r>
      <w:r>
        <w:t xml:space="preserve"> </w:t>
      </w:r>
      <w:r>
        <w:t xml:space="preserve">Six sociodemographic families and two clinical ones. The sociodemographic</w:t>
      </w:r>
      <w:r>
        <w:t xml:space="preserve"> </w:t>
      </w:r>
      <w:r>
        <w:t xml:space="preserve">families are sex, race, age band, marital status, smoking status and religion. The</w:t>
      </w:r>
      <w:r>
        <w:t xml:space="preserve"> </w:t>
      </w:r>
      <w:r>
        <w:t xml:space="preserve">clinical families are MDD recurrence and severity. Race is collapsed to majority against</w:t>
      </w:r>
      <w:r>
        <w:t xml:space="preserve"> </w:t>
      </w:r>
      <w:r>
        <w:t xml:space="preserve">recorded minority, because a level-by-level breakdown is not estimable at 80.0% White or</w:t>
      </w:r>
      <w:r>
        <w:t xml:space="preserve"> </w:t>
      </w:r>
      <w:r>
        <w:t xml:space="preserve">Caucasian. Preferred language is absent by necessity rather than by choice: 98.9% of the</w:t>
      </w:r>
      <w:r>
        <w:t xml:space="preserve"> </w:t>
      </w:r>
      <w:r>
        <w:t xml:space="preserve">cohort prefers English, which leaves one estimable level and therefore no contrast. A</w:t>
      </w:r>
      <w:r>
        <w:t xml:space="preserve"> </w:t>
      </w:r>
      <w:r>
        <w:t xml:space="preserve">group whose smaller class holds fewer than 20 outcome events is declared not estimable</w:t>
      </w:r>
      <w:r>
        <w:t xml:space="preserve"> </w:t>
      </w:r>
      <w:r>
        <w:t xml:space="preserve">rather than reported.</w:t>
      </w:r>
    </w:p>
    <w:p>
      <w:pPr>
        <w:pStyle w:val="BodyText"/>
      </w:pPr>
      <w:r>
        <w:rPr>
          <w:b/>
          <w:bCs/>
        </w:rPr>
        <w:t xml:space="preserve">Intervals and multiplicity.</w:t>
      </w:r>
      <w:r>
        <w:t xml:space="preserve"> </w:t>
      </w:r>
      <w:r>
        <w:t xml:space="preserve">Within-group intervals are percentile bootstraps over</w:t>
      </w:r>
      <w:r>
        <w:t xml:space="preserve"> </w:t>
      </w:r>
      <w:r>
        <w:t xml:space="preserve">that group’s own patients. Between-group intervals are</w:t>
      </w:r>
      <w:r>
        <w:t xml:space="preserve"> </w:t>
      </w:r>
      <w:r>
        <w:rPr>
          <w:i/>
          <w:iCs/>
        </w:rPr>
        <w:t xml:space="preserve">unpaired</w:t>
      </w:r>
      <w:r>
        <w:t xml:space="preserve"> </w:t>
      </w:r>
      <w:r>
        <w:t xml:space="preserve">bootstraps, because two</w:t>
      </w:r>
      <w:r>
        <w:t xml:space="preserve"> </w:t>
      </w:r>
      <w:r>
        <w:t xml:space="preserve">subgroups are disjoint patient sets and each must be resampled independently. That is</w:t>
      </w:r>
      <w:r>
        <w:t xml:space="preserve"> </w:t>
      </w:r>
      <w:r>
        <w:t xml:space="preserve">unlike the paired test used for the representation contrasts in main-text Figure 3.</w:t>
      </w:r>
    </w:p>
    <w:p>
      <w:pPr>
        <w:pStyle w:val="BodyText"/>
      </w:pPr>
      <w:r>
        <w:t xml:space="preserve">Two hundred and eighty-eight contrasts were computed. At that number, nominally</w:t>
      </w:r>
      <w:r>
        <w:t xml:space="preserve"> </w:t>
      </w:r>
      <w:r>
        <w:t xml:space="preserve">significant results arise from sampling alone, so each contrast carries a two-sided</w:t>
      </w:r>
      <w:r>
        <w:t xml:space="preserve"> </w:t>
      </w:r>
      <w:r>
        <w:t xml:space="preserve">bootstrap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 taken from the same draws and adjusted across the entire reported set</w:t>
      </w:r>
      <w:r>
        <w:t xml:space="preserve"> </w:t>
      </w:r>
      <w:r>
        <w:t xml:space="preserve">by Benjamini-Hochberg. The adjusted value is what we interpret, and both are tabulated so</w:t>
      </w:r>
      <w:r>
        <w:t xml:space="preserve"> </w:t>
      </w:r>
      <w:r>
        <w:t xml:space="preserve">a reader can see the effect of the correction.</w:t>
      </w:r>
    </w:p>
    <w:p>
      <w:pPr>
        <w:pStyle w:val="BodyText"/>
      </w:pPr>
      <w:r>
        <w:t xml:space="preserve">Calibration slope is the coefficient of a logistic regression of the outcome on the</w:t>
      </w:r>
      <w:r>
        <w:t xml:space="preserve"> </w:t>
      </w:r>
      <w:r>
        <w:t xml:space="preserve">logit of predicted risk, where 1.0 is perfect. Calibration-in-the-large is mean predicted</w:t>
      </w:r>
      <w:r>
        <w:t xml:space="preserve"> </w:t>
      </w:r>
      <w:r>
        <w:t xml:space="preserve">risk minus observed rate, where 0.0 is perfect. Both are computed directly rather than</w:t>
      </w:r>
      <w:r>
        <w:t xml:space="preserve"> </w:t>
      </w:r>
      <w:r>
        <w:t xml:space="preserve">from the binned calibration surface used in main-text Table 3, because a bin-mean fit</w:t>
      </w:r>
      <w:r>
        <w:t xml:space="preserve"> </w:t>
      </w:r>
      <w:r>
        <w:t xml:space="preserve">over a few thousand patients describes the bin grid more than it describes the model.</w:t>
      </w:r>
    </w:p>
    <w:bookmarkEnd w:id="95"/>
    <w:bookmarkStart w:id="96" w:name="s10.2-sociodemographic-strata"/>
    <w:p>
      <w:pPr>
        <w:pStyle w:val="Heading2"/>
      </w:pPr>
      <w:r>
        <w:t xml:space="preserve">S10.2 Sociodemographic strata</w:t>
      </w:r>
    </w:p>
    <w:p>
      <w:pPr>
        <w:pStyle w:val="FirstParagraph"/>
      </w:pPr>
      <w:r>
        <w:rPr>
          <w:b/>
          <w:bCs/>
          <w:i/>
          <w:iCs/>
        </w:rPr>
        <w:t xml:space="preserve">Table S9.</w:t>
      </w:r>
      <w:r>
        <w:rPr>
          <w:i/>
          <w:iCs/>
        </w:rPr>
        <w:t xml:space="preserve"> </w:t>
      </w:r>
      <w:r>
        <w:rPr>
          <w:i/>
          <w:iCs/>
        </w:rPr>
        <w:t xml:space="preserve">Discrimination and calibration by sociodemographic stratum, one</w:t>
      </w:r>
      <w:r>
        <w:rPr>
          <w:i/>
          <w:iCs/>
        </w:rPr>
        <w:t xml:space="preserve"> </w:t>
      </w:r>
      <w:r>
        <w:rPr>
          <w:i/>
          <w:iCs/>
        </w:rPr>
        <w:t xml:space="preserve">representative model per arm, held-out test set. Groups are not disjoint across</w:t>
      </w:r>
      <w:r>
        <w:rPr>
          <w:i/>
          <w:iCs/>
        </w:rPr>
        <w:t xml:space="preserve"> </w:t>
      </w:r>
      <w:r>
        <w:rPr>
          <w:i/>
          <w:iCs/>
        </w:rPr>
        <w:t xml:space="preserve">families: every patient with a recorded sex appears in one sex row and every</w:t>
      </w:r>
      <w:r>
        <w:rPr>
          <w:i/>
          <w:iCs/>
        </w:rPr>
        <w:t xml:space="preserve"> </w:t>
      </w:r>
      <w:r>
        <w:rPr>
          <w:i/>
          <w:iCs/>
        </w:rPr>
        <w:t xml:space="preserve">patient with a recorded race in one race row.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1056"/>
        <w:gridCol w:w="1056"/>
        <w:gridCol w:w="792"/>
        <w:gridCol w:w="1056"/>
        <w:gridCol w:w="1056"/>
        <w:gridCol w:w="1056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TRD+</w:t>
            </w:r>
          </w:p>
        </w:tc>
        <w:tc>
          <w:tcPr/>
          <w:p>
            <w:pPr>
              <w:pStyle w:val="Compac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ROC AUC (95% CI)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Brier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Calibration slope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Calibration-in-the-large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held-out patients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1,491</w:t>
            </w:r>
          </w:p>
        </w:tc>
        <w:tc>
          <w:tcPr/>
          <w:p>
            <w:pPr>
              <w:pStyle w:val="Compact"/>
            </w:pPr>
            <w:r>
              <w:t xml:space="preserve">Embedded (logistic regression)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0.657 (0.643–0.672)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held-out patients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1,491</w:t>
            </w:r>
          </w:p>
        </w:tc>
        <w:tc>
          <w:tcPr/>
          <w:p>
            <w:pPr>
              <w:pStyle w:val="Compact"/>
            </w:pPr>
            <w:r>
              <w:t xml:space="preserve">Feature vector (logistic regression)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 (0.613–0.644)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held-out patients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1,491</w:t>
            </w:r>
          </w:p>
        </w:tc>
        <w:tc>
          <w:tcPr/>
          <w:p>
            <w:pPr>
              <w:pStyle w:val="Compact"/>
            </w:pPr>
            <w:r>
              <w:t xml:space="preserve">Neighbour-weighted (nearest, LLM)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0.595 (0.578–0.610)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386</w:t>
            </w:r>
          </w:p>
        </w:tc>
        <w:tc>
          <w:tcPr/>
          <w:p>
            <w:pPr>
              <w:pStyle w:val="Compact"/>
            </w:pPr>
            <w:r>
              <w:t xml:space="preserve">Embedded (logistic regression)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0.653 (0.622–0.682)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386</w:t>
            </w:r>
          </w:p>
        </w:tc>
        <w:tc>
          <w:tcPr/>
          <w:p>
            <w:pPr>
              <w:pStyle w:val="Compact"/>
            </w:pPr>
            <w:r>
              <w:t xml:space="preserve">Feature vector (logistic regression)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 (0.595–0.655)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386</w:t>
            </w:r>
          </w:p>
        </w:tc>
        <w:tc>
          <w:tcPr/>
          <w:p>
            <w:pPr>
              <w:pStyle w:val="Compact"/>
            </w:pPr>
            <w:r>
              <w:t xml:space="preserve">Neighbour-weighted (nearest, LLM)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0.599 (0.566–0.631)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1,105</w:t>
            </w:r>
          </w:p>
        </w:tc>
        <w:tc>
          <w:tcPr/>
          <w:p>
            <w:pPr>
              <w:pStyle w:val="Compact"/>
            </w:pPr>
            <w:r>
              <w:t xml:space="preserve">Embedded (logistic regression)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0.658 (0.641–0.675)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1,105</w:t>
            </w:r>
          </w:p>
        </w:tc>
        <w:tc>
          <w:tcPr/>
          <w:p>
            <w:pPr>
              <w:pStyle w:val="Compact"/>
            </w:pPr>
            <w:r>
              <w:t xml:space="preserve">Feature vector (logistic regression)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0.630 (0.612–0.648)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1,105</w:t>
            </w:r>
          </w:p>
        </w:tc>
        <w:tc>
          <w:tcPr/>
          <w:p>
            <w:pPr>
              <w:pStyle w:val="Compact"/>
            </w:pPr>
            <w:r>
              <w:t xml:space="preserve">Neighbour-weighted (nearest, LLM)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0.591 (0.572–0.610)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White/Caucasian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1,181</w:t>
            </w:r>
          </w:p>
        </w:tc>
        <w:tc>
          <w:tcPr/>
          <w:p>
            <w:pPr>
              <w:pStyle w:val="Compact"/>
            </w:pPr>
            <w:r>
              <w:t xml:space="preserve">Embedded (logistic regression)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0.657 (0.640–0.674)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White/Caucasian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1,181</w:t>
            </w:r>
          </w:p>
        </w:tc>
        <w:tc>
          <w:tcPr/>
          <w:p>
            <w:pPr>
              <w:pStyle w:val="Compact"/>
            </w:pPr>
            <w:r>
              <w:t xml:space="preserve">Feature vector (logistic regression)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0.633 (0.615–0.652)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White/Caucasian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1,181</w:t>
            </w:r>
          </w:p>
        </w:tc>
        <w:tc>
          <w:tcPr/>
          <w:p>
            <w:pPr>
              <w:pStyle w:val="Compact"/>
            </w:pPr>
            <w:r>
              <w:t xml:space="preserve">Neighbour-weighted (nearest, LLM)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 (0.586–0.623)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Non-White (recorded)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302</w:t>
            </w:r>
          </w:p>
        </w:tc>
        <w:tc>
          <w:tcPr/>
          <w:p>
            <w:pPr>
              <w:pStyle w:val="Compact"/>
            </w:pPr>
            <w:r>
              <w:t xml:space="preserve">Embedded (logistic regression)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0.652 (0.620–0.684)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Non-White (recorded)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302</w:t>
            </w:r>
          </w:p>
        </w:tc>
        <w:tc>
          <w:tcPr/>
          <w:p>
            <w:pPr>
              <w:pStyle w:val="Compact"/>
            </w:pPr>
            <w:r>
              <w:t xml:space="preserve">Feature vector (logistic regression)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0.608 (0.573–0.643)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Non-White (recorded)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302</w:t>
            </w:r>
          </w:p>
        </w:tc>
        <w:tc>
          <w:tcPr/>
          <w:p>
            <w:pPr>
              <w:pStyle w:val="Compact"/>
            </w:pPr>
            <w:r>
              <w:t xml:space="preserve">Neighbour-weighted (nearest, LLM)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0.553 (0.516–0.590)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Race not recorded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Embedded (logistic regression)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estimable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Race not recorded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Feature vector (logistic regression)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estimable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Race not recorded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Neighbour-weighted (nearest, LLM)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estimable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band: 18-29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218</w:t>
            </w:r>
          </w:p>
        </w:tc>
        <w:tc>
          <w:tcPr/>
          <w:p>
            <w:pPr>
              <w:pStyle w:val="Compact"/>
            </w:pPr>
            <w:r>
              <w:t xml:space="preserve">Embedded (logistic regression)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 (0.568–0.654)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band: 18-29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218</w:t>
            </w:r>
          </w:p>
        </w:tc>
        <w:tc>
          <w:tcPr/>
          <w:p>
            <w:pPr>
              <w:pStyle w:val="Compact"/>
            </w:pPr>
            <w:r>
              <w:t xml:space="preserve">Feature vector (logistic regression)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0.570 (0.524–0.615)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band: 18-29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218</w:t>
            </w:r>
          </w:p>
        </w:tc>
        <w:tc>
          <w:tcPr/>
          <w:p>
            <w:pPr>
              <w:pStyle w:val="Compact"/>
            </w:pPr>
            <w:r>
              <w:t xml:space="preserve">Neighbour-weighted (nearest, LLM)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 (0.505–0.592)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band: 30-44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372</w:t>
            </w:r>
          </w:p>
        </w:tc>
        <w:tc>
          <w:tcPr/>
          <w:p>
            <w:pPr>
              <w:pStyle w:val="Compact"/>
            </w:pPr>
            <w:r>
              <w:t xml:space="preserve">Embedded (logistic regression)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0.653 (0.621–0.682)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band: 30-44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372</w:t>
            </w:r>
          </w:p>
        </w:tc>
        <w:tc>
          <w:tcPr/>
          <w:p>
            <w:pPr>
              <w:pStyle w:val="Compact"/>
            </w:pPr>
            <w:r>
              <w:t xml:space="preserve">Feature vector (logistic regression)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0.636 (0.605–0.667)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band: 30-44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372</w:t>
            </w:r>
          </w:p>
        </w:tc>
        <w:tc>
          <w:tcPr/>
          <w:p>
            <w:pPr>
              <w:pStyle w:val="Compact"/>
            </w:pPr>
            <w:r>
              <w:t xml:space="preserve">Neighbour-weighted (nearest, LLM)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0.587 (0.552–0.619)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band: 45-64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473</w:t>
            </w:r>
          </w:p>
        </w:tc>
        <w:tc>
          <w:tcPr/>
          <w:p>
            <w:pPr>
              <w:pStyle w:val="Compact"/>
            </w:pPr>
            <w:r>
              <w:t xml:space="preserve">Embedded (logistic regression)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0.652 (0.623–0.679)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band: 45-64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473</w:t>
            </w:r>
          </w:p>
        </w:tc>
        <w:tc>
          <w:tcPr/>
          <w:p>
            <w:pPr>
              <w:pStyle w:val="Compact"/>
            </w:pPr>
            <w:r>
              <w:t xml:space="preserve">Feature vector (logistic regression)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 (0.580–0.636)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band: 45-64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473</w:t>
            </w:r>
          </w:p>
        </w:tc>
        <w:tc>
          <w:tcPr/>
          <w:p>
            <w:pPr>
              <w:pStyle w:val="Compact"/>
            </w:pPr>
            <w:r>
              <w:t xml:space="preserve">Neighbour-weighted (nearest, LLM)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0.593 (0.564–0.620)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band: 65+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428</w:t>
            </w:r>
          </w:p>
        </w:tc>
        <w:tc>
          <w:tcPr/>
          <w:p>
            <w:pPr>
              <w:pStyle w:val="Compact"/>
            </w:pPr>
            <w:r>
              <w:t xml:space="preserve">Embedded (logistic regression)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0.658 (0.630–0.682)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band: 65+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428</w:t>
            </w:r>
          </w:p>
        </w:tc>
        <w:tc>
          <w:tcPr/>
          <w:p>
            <w:pPr>
              <w:pStyle w:val="Compact"/>
            </w:pPr>
            <w:r>
              <w:t xml:space="preserve">Feature vector (logistic regression)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 (0.614–0.669)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band: 65+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428</w:t>
            </w:r>
          </w:p>
        </w:tc>
        <w:tc>
          <w:tcPr/>
          <w:p>
            <w:pPr>
              <w:pStyle w:val="Compact"/>
            </w:pPr>
            <w:r>
              <w:t xml:space="preserve">Neighbour-weighted (nearest, LLM)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0.587 (0.555–0.619)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Marital status: Divorced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</w:t>
            </w:r>
          </w:p>
        </w:tc>
        <w:tc>
          <w:tcPr/>
          <w:p>
            <w:pPr>
              <w:pStyle w:val="Compact"/>
            </w:pPr>
            <w:r>
              <w:t xml:space="preserve">Embedded (logistic regression)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 (0.593–0.681)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Marital status: Divorced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</w:t>
            </w:r>
          </w:p>
        </w:tc>
        <w:tc>
          <w:tcPr/>
          <w:p>
            <w:pPr>
              <w:pStyle w:val="Compact"/>
            </w:pPr>
            <w:r>
              <w:t xml:space="preserve">Feature vector (logistic regression)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 (0.563–0.649)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Marital status: Divorced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</w:t>
            </w:r>
          </w:p>
        </w:tc>
        <w:tc>
          <w:tcPr/>
          <w:p>
            <w:pPr>
              <w:pStyle w:val="Compact"/>
            </w:pPr>
            <w:r>
              <w:t xml:space="preserve">Neighbour-weighted (nearest, LLM)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0.582 (0.537–0.624)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Marital status: Never Married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</w:t>
            </w:r>
          </w:p>
        </w:tc>
        <w:tc>
          <w:tcPr/>
          <w:p>
            <w:pPr>
              <w:pStyle w:val="Compact"/>
            </w:pPr>
            <w:r>
              <w:t xml:space="preserve">Embedded (logistic regression)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0.634 (0.609–0.661)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Marital status: Never Married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</w:t>
            </w:r>
          </w:p>
        </w:tc>
        <w:tc>
          <w:tcPr/>
          <w:p>
            <w:pPr>
              <w:pStyle w:val="Compact"/>
            </w:pPr>
            <w:r>
              <w:t xml:space="preserve">Feature vector (logistic regression)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0.598 (0.569–0.627)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Marital status: Never Married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</w:t>
            </w:r>
          </w:p>
        </w:tc>
        <w:tc>
          <w:tcPr/>
          <w:p>
            <w:pPr>
              <w:pStyle w:val="Compact"/>
            </w:pPr>
            <w:r>
              <w:t xml:space="preserve">Neighbour-weighted (nearest, LLM)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0.566 (0.537–0.597)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Marital status: Now Married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694</w:t>
            </w:r>
          </w:p>
        </w:tc>
        <w:tc>
          <w:tcPr/>
          <w:p>
            <w:pPr>
              <w:pStyle w:val="Compact"/>
            </w:pPr>
            <w:r>
              <w:t xml:space="preserve">Embedded (logistic regression)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0.670 (0.650–0.690)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Marital status: Now Married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694</w:t>
            </w:r>
          </w:p>
        </w:tc>
        <w:tc>
          <w:tcPr/>
          <w:p>
            <w:pPr>
              <w:pStyle w:val="Compact"/>
            </w:pPr>
            <w:r>
              <w:t xml:space="preserve">Feature vector (logistic regression)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0.644 (0.623–0.666)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Marital status: Now Married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694</w:t>
            </w:r>
          </w:p>
        </w:tc>
        <w:tc>
          <w:tcPr/>
          <w:p>
            <w:pPr>
              <w:pStyle w:val="Compact"/>
            </w:pPr>
            <w:r>
              <w:t xml:space="preserve">Neighbour-weighted (nearest, LLM)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 (0.587–0.634)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Marital status: Separated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Embedded (logistic regression)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0.518 (0.364–0.673)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Marital status: Separated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Feature vector (logistic regression)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0.518 (0.357–0.687)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Marital status: Separated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Neighbour-weighted (nearest, LLM)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 (0.378–0.706)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Marital status: Widowed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Embedded (logistic regression)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0.654 (0.597–0.708)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Marital status: Widowed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Feature vector (logistic regression)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 (0.572–0.678)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Marital status: Widowed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Neighbour-weighted (nearest, LLM)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0.576 (0.516–0.629)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Smoking status: Current Smoker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243</w:t>
            </w:r>
          </w:p>
        </w:tc>
        <w:tc>
          <w:tcPr/>
          <w:p>
            <w:pPr>
              <w:pStyle w:val="Compact"/>
            </w:pPr>
            <w:r>
              <w:t xml:space="preserve">Embedded (logistic regression)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 (0.631–0.706)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Smoking status: Current Smoker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243</w:t>
            </w:r>
          </w:p>
        </w:tc>
        <w:tc>
          <w:tcPr/>
          <w:p>
            <w:pPr>
              <w:pStyle w:val="Compact"/>
            </w:pPr>
            <w:r>
              <w:t xml:space="preserve">Feature vector (logistic regression)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 (0.575–0.660)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Smoking status: Current Smoker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243</w:t>
            </w:r>
          </w:p>
        </w:tc>
        <w:tc>
          <w:tcPr/>
          <w:p>
            <w:pPr>
              <w:pStyle w:val="Compact"/>
            </w:pPr>
            <w:r>
              <w:t xml:space="preserve">Neighbour-weighted (nearest, LLM)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0.624 (0.585–0.661)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Smoking status: Former Smoker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443</w:t>
            </w:r>
          </w:p>
        </w:tc>
        <w:tc>
          <w:tcPr/>
          <w:p>
            <w:pPr>
              <w:pStyle w:val="Compact"/>
            </w:pPr>
            <w:r>
              <w:t xml:space="preserve">Embedded (logistic regression)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0.663 (0.636–0.690)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Smoking status: Former Smoker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443</w:t>
            </w:r>
          </w:p>
        </w:tc>
        <w:tc>
          <w:tcPr/>
          <w:p>
            <w:pPr>
              <w:pStyle w:val="Compact"/>
            </w:pPr>
            <w:r>
              <w:t xml:space="preserve">Feature vector (logistic regression)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0.633 (0.603–0.660)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Smoking status: Former Smoker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443</w:t>
            </w:r>
          </w:p>
        </w:tc>
        <w:tc>
          <w:tcPr/>
          <w:p>
            <w:pPr>
              <w:pStyle w:val="Compact"/>
            </w:pPr>
            <w:r>
              <w:t xml:space="preserve">Neighbour-weighted (nearest, LLM)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0.581 (0.549–0.611)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Smoking status: Never Smoker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793</w:t>
            </w:r>
          </w:p>
        </w:tc>
        <w:tc>
          <w:tcPr/>
          <w:p>
            <w:pPr>
              <w:pStyle w:val="Compact"/>
            </w:pPr>
            <w:r>
              <w:t xml:space="preserve">Embedded (logistic regression)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 (0.623–0.665)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Smoking status: Never Smoker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793</w:t>
            </w:r>
          </w:p>
        </w:tc>
        <w:tc>
          <w:tcPr/>
          <w:p>
            <w:pPr>
              <w:pStyle w:val="Compact"/>
            </w:pPr>
            <w:r>
              <w:t xml:space="preserve">Feature vector (logistic regression)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 (0.603–0.645)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Smoking status: Never Smoker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793</w:t>
            </w:r>
          </w:p>
        </w:tc>
        <w:tc>
          <w:tcPr/>
          <w:p>
            <w:pPr>
              <w:pStyle w:val="Compact"/>
            </w:pPr>
            <w:r>
              <w:t xml:space="preserve">Neighbour-weighted (nearest, LLM)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0.586 (0.563–0.607)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Religion: Catholic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t xml:space="preserve">Embedded (logistic regression)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0.695 (0.634–0.754)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Religion: Catholic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t xml:space="preserve">Feature vector (logistic regression)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0.648 (0.587–0.710)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Religion: Catholic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t xml:space="preserve">Neighbour-weighted (nearest, LLM)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 (0.562–0.686)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Religion: Non-Christian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Embedded (logistic regression)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estimable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Religion: Non-Christian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Feature vector (logistic regression)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estimable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Religion: Non-Christian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Neighbour-weighted (nearest, LLM)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estimable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Religion: Orthodox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Embedded (logistic regression)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estimable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Religion: Orthodox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Feature vector (logistic regression)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estimable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Religion: Orthodox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Neighbour-weighted (nearest, LLM)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estimable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Religion: Other/Unknown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</w:t>
            </w:r>
          </w:p>
        </w:tc>
        <w:tc>
          <w:tcPr/>
          <w:p>
            <w:pPr>
              <w:pStyle w:val="Compact"/>
            </w:pPr>
            <w:r>
              <w:t xml:space="preserve">Embedded (logistic regression)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 (0.565–0.664)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Religion: Other/Unknown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</w:t>
            </w:r>
          </w:p>
        </w:tc>
        <w:tc>
          <w:tcPr/>
          <w:p>
            <w:pPr>
              <w:pStyle w:val="Compact"/>
            </w:pPr>
            <w:r>
              <w:t xml:space="preserve">Feature vector (logistic regression)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0.589 (0.537–0.642)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Religion: Other/Unknown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</w:t>
            </w:r>
          </w:p>
        </w:tc>
        <w:tc>
          <w:tcPr/>
          <w:p>
            <w:pPr>
              <w:pStyle w:val="Compact"/>
            </w:pPr>
            <w:r>
              <w:t xml:space="preserve">Neighbour-weighted (nearest, LLM)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 (0.494–0.603)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Religion: Protestant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793</w:t>
            </w:r>
          </w:p>
        </w:tc>
        <w:tc>
          <w:tcPr/>
          <w:p>
            <w:pPr>
              <w:pStyle w:val="Compact"/>
            </w:pPr>
            <w:r>
              <w:t xml:space="preserve">Embedded (logistic regression)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 (0.644–0.685)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Religion: Protestant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793</w:t>
            </w:r>
          </w:p>
        </w:tc>
        <w:tc>
          <w:tcPr/>
          <w:p>
            <w:pPr>
              <w:pStyle w:val="Compact"/>
            </w:pPr>
            <w:r>
              <w:t xml:space="preserve">Feature vector (logistic regression)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0.642 (0.620–0.662)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Religion: Protestant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793</w:t>
            </w:r>
          </w:p>
        </w:tc>
        <w:tc>
          <w:tcPr/>
          <w:p>
            <w:pPr>
              <w:pStyle w:val="Compact"/>
            </w:pPr>
            <w:r>
              <w:t xml:space="preserve">Neighbour-weighted (nearest, LLM)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0.601 (0.580–0.624)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-0.011</w:t>
            </w:r>
          </w:p>
        </w:tc>
      </w:tr>
    </w:tbl>
    <w:bookmarkEnd w:id="96"/>
    <w:bookmarkStart w:id="97" w:name="s10.3-clinical-strata"/>
    <w:p>
      <w:pPr>
        <w:pStyle w:val="Heading2"/>
      </w:pPr>
      <w:r>
        <w:t xml:space="preserve">S10.3 Clinical strata</w:t>
      </w:r>
    </w:p>
    <w:p>
      <w:pPr>
        <w:pStyle w:val="FirstParagraph"/>
      </w:pPr>
      <w:r>
        <w:rPr>
          <w:b/>
          <w:bCs/>
          <w:i/>
          <w:iCs/>
        </w:rPr>
        <w:t xml:space="preserve">Table S10.</w:t>
      </w:r>
      <w:r>
        <w:rPr>
          <w:i/>
          <w:iCs/>
        </w:rPr>
        <w:t xml:space="preserve"> </w:t>
      </w:r>
      <w:r>
        <w:rPr>
          <w:i/>
          <w:iCs/>
        </w:rPr>
        <w:t xml:space="preserve">Discrimination and calibration by recorded depression phenotype,</w:t>
      </w:r>
      <w:r>
        <w:rPr>
          <w:i/>
          <w:iCs/>
        </w:rPr>
        <w:t xml:space="preserve"> </w:t>
      </w:r>
      <w:r>
        <w:rPr>
          <w:i/>
          <w:iCs/>
        </w:rPr>
        <w:t xml:space="preserve">one representative model per arm.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1056"/>
        <w:gridCol w:w="1056"/>
        <w:gridCol w:w="792"/>
        <w:gridCol w:w="1056"/>
        <w:gridCol w:w="1056"/>
        <w:gridCol w:w="1056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TRD+</w:t>
            </w:r>
          </w:p>
        </w:tc>
        <w:tc>
          <w:tcPr/>
          <w:p>
            <w:pPr>
              <w:pStyle w:val="Compac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ROC AUC (95% CI)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Brier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Calibration slope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Calibration-in-the-large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MDD severity: Mild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Embedded (logistic regression)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0.683 (0.624–0.742)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MDD severity: Mild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Feature vector (logistic regression)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 (0.547–0.667)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MDD severity: Mild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Neighbour-weighted (nearest, LLM)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0.558 (0.501–0.619)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MDD severity: Moderate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Embedded (logistic regression)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0.652 (0.618–0.687)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MDD severity: Moderate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Feature vector (logistic regression)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0.634 (0.599–0.670)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MDD severity: Moderate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Neighbour-weighted (nearest, LLM)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0.595 (0.556–0.631)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MDD severity: Psychotic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Embedded (logistic regression)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estimable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MDD severity: Psychotic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Feature vector (logistic regression)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estimable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MDD severity: Psychotic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Neighbour-weighted (nearest, LLM)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estimable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MDD severity: Remission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Embedded (logistic regression)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estimable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MDD severity: Remission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Feature vector (logistic regression)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estimable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MDD severity: Remission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Neighbour-weighted (nearest, LLM)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estimable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MDD severity: Severe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</w:t>
            </w:r>
          </w:p>
        </w:tc>
        <w:tc>
          <w:tcPr/>
          <w:p>
            <w:pPr>
              <w:pStyle w:val="Compact"/>
            </w:pPr>
            <w:r>
              <w:t xml:space="preserve">Embedded (logistic regression)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0.700 (0.648–0.749)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MDD severity: Severe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</w:t>
            </w:r>
          </w:p>
        </w:tc>
        <w:tc>
          <w:tcPr/>
          <w:p>
            <w:pPr>
              <w:pStyle w:val="Compact"/>
            </w:pPr>
            <w:r>
              <w:t xml:space="preserve">Feature vector (logistic regression)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0.636 (0.578–0.690)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MDD severity: Severe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</w:t>
            </w:r>
          </w:p>
        </w:tc>
        <w:tc>
          <w:tcPr/>
          <w:p>
            <w:pPr>
              <w:pStyle w:val="Compact"/>
            </w:pPr>
            <w:r>
              <w:t xml:space="preserve">Neighbour-weighted (nearest, LLM)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 (0.611–0.716)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MDD severity: Unspecified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967</w:t>
            </w:r>
          </w:p>
        </w:tc>
        <w:tc>
          <w:tcPr/>
          <w:p>
            <w:pPr>
              <w:pStyle w:val="Compact"/>
            </w:pPr>
            <w:r>
              <w:t xml:space="preserve">Embedded (logistic regression)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 (0.621–0.660)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MDD severity: Unspecified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967</w:t>
            </w:r>
          </w:p>
        </w:tc>
        <w:tc>
          <w:tcPr/>
          <w:p>
            <w:pPr>
              <w:pStyle w:val="Compact"/>
            </w:pPr>
            <w:r>
              <w:t xml:space="preserve">Feature vector (logistic regression)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 (0.595–0.634)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MDD severity: Unspecified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967</w:t>
            </w:r>
          </w:p>
        </w:tc>
        <w:tc>
          <w:tcPr/>
          <w:p>
            <w:pPr>
              <w:pStyle w:val="Compact"/>
            </w:pPr>
            <w:r>
              <w:t xml:space="preserve">Neighbour-weighted (nearest, LLM)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0.575 (0.555–0.595)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MDD recurrence: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Embedded (logistic regression)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estimable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MDD recurrence: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Feature vector (logistic regression)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estimable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MDD recurrence: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Neighbour-weighted (nearest, LLM)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estimable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MDD recurrence: Dysthymia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</w:t>
            </w:r>
          </w:p>
        </w:tc>
        <w:tc>
          <w:tcPr/>
          <w:p>
            <w:pPr>
              <w:pStyle w:val="Compact"/>
            </w:pPr>
            <w:r>
              <w:t xml:space="preserve">Embedded (logistic regression)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 (0.638–0.748)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MDD recurrence: Dysthymia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</w:t>
            </w:r>
          </w:p>
        </w:tc>
        <w:tc>
          <w:tcPr/>
          <w:p>
            <w:pPr>
              <w:pStyle w:val="Compact"/>
            </w:pPr>
            <w:r>
              <w:t xml:space="preserve">Feature vector (logistic regression)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0.627 (0.565–0.687)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MDD recurrence: Dysthymia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</w:t>
            </w:r>
          </w:p>
        </w:tc>
        <w:tc>
          <w:tcPr/>
          <w:p>
            <w:pPr>
              <w:pStyle w:val="Compact"/>
            </w:pPr>
            <w:r>
              <w:t xml:space="preserve">Neighbour-weighted (nearest, LLM)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0.584 (0.526–0.650)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MDD recurrence: Recurrent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433</w:t>
            </w:r>
          </w:p>
        </w:tc>
        <w:tc>
          <w:tcPr/>
          <w:p>
            <w:pPr>
              <w:pStyle w:val="Compact"/>
            </w:pPr>
            <w:r>
              <w:t xml:space="preserve">Embedded (logistic regression)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0.698 (0.671–0.726)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MDD recurrence: Recurrent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433</w:t>
            </w:r>
          </w:p>
        </w:tc>
        <w:tc>
          <w:tcPr/>
          <w:p>
            <w:pPr>
              <w:pStyle w:val="Compact"/>
            </w:pPr>
            <w:r>
              <w:t xml:space="preserve">Feature vector (logistic regression)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 (0.648–0.703)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MDD recurrence: Recurrent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433</w:t>
            </w:r>
          </w:p>
        </w:tc>
        <w:tc>
          <w:tcPr/>
          <w:p>
            <w:pPr>
              <w:pStyle w:val="Compact"/>
            </w:pPr>
            <w:r>
              <w:t xml:space="preserve">Neighbour-weighted (nearest, LLM)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0.650 (0.623–0.678)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MDD recurrence: Single Episode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954</w:t>
            </w:r>
          </w:p>
        </w:tc>
        <w:tc>
          <w:tcPr/>
          <w:p>
            <w:pPr>
              <w:pStyle w:val="Compact"/>
            </w:pPr>
            <w:r>
              <w:t xml:space="preserve">Embedded (logistic regression)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0.633 (0.612–0.652)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MDD recurrence: Single Episode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954</w:t>
            </w:r>
          </w:p>
        </w:tc>
        <w:tc>
          <w:tcPr/>
          <w:p>
            <w:pPr>
              <w:pStyle w:val="Compact"/>
            </w:pPr>
            <w:r>
              <w:t xml:space="preserve">Feature vector (logistic regression)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 (0.584–0.626)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MDD recurrence: Single Episode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954</w:t>
            </w:r>
          </w:p>
        </w:tc>
        <w:tc>
          <w:tcPr/>
          <w:p>
            <w:pPr>
              <w:pStyle w:val="Compact"/>
            </w:pPr>
            <w:r>
              <w:t xml:space="preserve">Neighbour-weighted (nearest, LLM)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 (0.543–0.585)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-0.012</w:t>
            </w:r>
          </w:p>
        </w:tc>
      </w:tr>
    </w:tbl>
    <w:bookmarkEnd w:id="97"/>
    <w:bookmarkStart w:id="101" w:name="s10.4-what-survives-correction"/>
    <w:p>
      <w:pPr>
        <w:pStyle w:val="Heading2"/>
      </w:pPr>
      <w:r>
        <w:t xml:space="preserve">S10.4 What survives correction</w:t>
      </w:r>
    </w:p>
    <w:p>
      <w:pPr>
        <w:pStyle w:val="FirstParagraph"/>
      </w:pPr>
      <w:r>
        <w:t xml:space="preserve">Seventy-two of the 288 contrasts exclude zero unadjusted, and</w:t>
      </w:r>
      <w:r>
        <w:t xml:space="preserve"> </w:t>
      </w:r>
      <w:r>
        <w:rPr>
          <w:b/>
          <w:bCs/>
        </w:rPr>
        <w:t xml:space="preserve">35 survive</w:t>
      </w:r>
      <w:r>
        <w:rPr>
          <w:b/>
          <w:bCs/>
        </w:rPr>
        <w:t xml:space="preserve"> </w:t>
      </w:r>
      <w:r>
        <w:rPr>
          <w:b/>
          <w:bCs/>
        </w:rPr>
        <w:t xml:space="preserve">Benjamini-Hochberg adjustment</w:t>
      </w:r>
      <w:r>
        <w:t xml:space="preserve">. They are not the ones the analysis was commissioned to</w:t>
      </w:r>
      <w:r>
        <w:t xml:space="preserve"> </w:t>
      </w:r>
      <w:r>
        <w:t xml:space="preserve">look for.</w:t>
      </w:r>
    </w:p>
    <w:p>
      <w:pPr>
        <w:pStyle w:val="BodyText"/>
      </w:pPr>
      <w:r>
        <w:rPr>
          <w:b/>
          <w:bCs/>
          <w:i/>
          <w:iCs/>
        </w:rPr>
        <w:t xml:space="preserve">Table S11.</w:t>
      </w:r>
      <w:r>
        <w:rPr>
          <w:i/>
          <w:iCs/>
        </w:rPr>
        <w:t xml:space="preserve"> </w:t>
      </w:r>
      <w:r>
        <w:rPr>
          <w:i/>
          <w:iCs/>
        </w:rPr>
        <w:t xml:space="preserve">Contrasts surviving Benjamini-Hochberg adjustment across all 288</w:t>
      </w:r>
      <w:r>
        <w:rPr>
          <w:i/>
          <w:iCs/>
        </w:rPr>
        <w:t xml:space="preserve"> </w:t>
      </w:r>
      <w:r>
        <w:rPr>
          <w:i/>
          <w:iCs/>
        </w:rPr>
        <w:t xml:space="preserve">reported comparisons, grouped by contrast and arm.</w:t>
      </w:r>
      <w:r>
        <w:rPr>
          <w:i/>
          <w:iCs/>
        </w:rPr>
        <w:t xml:space="preserve"> </w:t>
      </w:r>
      <w:r>
        <w:rPr>
          <w:i/>
          <w:iCs/>
        </w:rPr>
        <w:t xml:space="preserve">“Models surviving”</w:t>
      </w:r>
      <w:r>
        <w:rPr>
          <w:i/>
          <w:iCs/>
        </w:rPr>
        <w:t xml:space="preserve"> </w:t>
      </w:r>
      <w:r>
        <w:rPr>
          <w:i/>
          <w:iCs/>
        </w:rPr>
        <w:t xml:space="preserve">counts how</w:t>
      </w:r>
      <w:r>
        <w:rPr>
          <w:i/>
          <w:iCs/>
        </w:rPr>
        <w:t xml:space="preserve"> </w:t>
      </w:r>
      <w:r>
        <w:rPr>
          <w:i/>
          <w:iCs/>
        </w:rPr>
        <w:t xml:space="preserve">many of that arm’s contrasted models cleared the threshold.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76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Contrast</w:t>
            </w:r>
          </w:p>
        </w:tc>
        <w:tc>
          <w:tcPr/>
          <w:p>
            <w:pPr>
              <w:pStyle w:val="Compac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Models surviving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ΔROC AUC range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smallest p (BH)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Age: 18-29 vs rest</w:t>
            </w:r>
          </w:p>
        </w:tc>
        <w:tc>
          <w:tcPr/>
          <w:p>
            <w:pPr>
              <w:pStyle w:val="Compact"/>
            </w:pPr>
            <w:r>
              <w:t xml:space="preserve">Feature vector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of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-0.071 to -0.066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Marital status: Never Married vs rest</w:t>
            </w:r>
          </w:p>
        </w:tc>
        <w:tc>
          <w:tcPr/>
          <w:p>
            <w:pPr>
              <w:pStyle w:val="Compact"/>
            </w:pPr>
            <w:r>
              <w:t xml:space="preserve">Embedded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of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-0.054 to -0.051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MDD recurrence: Recurrent vs rest</w:t>
            </w:r>
          </w:p>
        </w:tc>
        <w:tc>
          <w:tcPr/>
          <w:p>
            <w:pPr>
              <w:pStyle w:val="Compact"/>
            </w:pPr>
            <w:r>
              <w:t xml:space="preserve">Embedded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of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+0.059 to +0.072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MDD recurrence: Recurrent vs rest</w:t>
            </w:r>
          </w:p>
        </w:tc>
        <w:tc>
          <w:tcPr/>
          <w:p>
            <w:pPr>
              <w:pStyle w:val="Compact"/>
            </w:pPr>
            <w:r>
              <w:t xml:space="preserve">Feature vector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of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+0.060 to +0.068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MDD recurrence: Recurrent vs rest</w:t>
            </w:r>
          </w:p>
        </w:tc>
        <w:tc>
          <w:tcPr/>
          <w:p>
            <w:pPr>
              <w:pStyle w:val="Compact"/>
            </w:pPr>
            <w:r>
              <w:t xml:space="preserve">Neighbour-weighted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of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+0.075 to +0.082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MDD recurrence: Single Episode vs rest</w:t>
            </w:r>
          </w:p>
        </w:tc>
        <w:tc>
          <w:tcPr/>
          <w:p>
            <w:pPr>
              <w:pStyle w:val="Compact"/>
            </w:pPr>
            <w:r>
              <w:t xml:space="preserve">Embedded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of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-0.071 to -0.065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MDD recurrence: Single Episode vs rest</w:t>
            </w:r>
          </w:p>
        </w:tc>
        <w:tc>
          <w:tcPr/>
          <w:p>
            <w:pPr>
              <w:pStyle w:val="Compact"/>
            </w:pPr>
            <w:r>
              <w:t xml:space="preserve">Feature vector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of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-0.064 to -0.054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MDD recurrence: Single Episode vs rest</w:t>
            </w:r>
          </w:p>
        </w:tc>
        <w:tc>
          <w:tcPr/>
          <w:p>
            <w:pPr>
              <w:pStyle w:val="Compact"/>
            </w:pPr>
            <w:r>
              <w:t xml:space="preserve">Neighbour-weighted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of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-0.077 to -0.073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MDD severity: Severe vs rest</w:t>
            </w:r>
          </w:p>
        </w:tc>
        <w:tc>
          <w:tcPr/>
          <w:p>
            <w:pPr>
              <w:pStyle w:val="Compact"/>
            </w:pPr>
            <w:r>
              <w:t xml:space="preserve">Neighbour-weighted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of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+0.086 to +0.087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MDD severity: Unspecified vs rest</w:t>
            </w:r>
          </w:p>
        </w:tc>
        <w:tc>
          <w:tcPr/>
          <w:p>
            <w:pPr>
              <w:pStyle w:val="Compact"/>
            </w:pPr>
            <w:r>
              <w:t xml:space="preserve">Neighbour-weighted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of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-0.051 to -0.047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</w:t>
            </w:r>
          </w:p>
        </w:tc>
      </w:tr>
    </w:tbl>
    <w:p>
      <w:pPr>
        <w:pStyle w:val="BodyText"/>
      </w:pPr>
      <w:r>
        <w:rPr>
          <w:b/>
          <w:bCs/>
        </w:rPr>
        <w:t xml:space="preserve">Sex: no difference anywhere.</w:t>
      </w:r>
      <w:r>
        <w:t xml:space="preserve"> </w:t>
      </w:r>
      <w:r>
        <w:t xml:space="preserve">All twelve male-minus-female contrasts include</w:t>
      </w:r>
      <w:r>
        <w:t xml:space="preserve"> </w:t>
      </w:r>
      <w:r>
        <w:t xml:space="preserve">zero, across every arm and model, and the largest absolute difference is 0.012</w:t>
      </w:r>
      <w:r>
        <w:t xml:space="preserve"> </w:t>
      </w:r>
      <w:r>
        <w:t xml:space="preserve">ROC AUC. Nothing here needs qualification.</w:t>
      </w:r>
    </w:p>
    <w:p>
      <w:pPr>
        <w:pStyle w:val="BodyText"/>
      </w:pPr>
      <w:r>
        <w:rPr>
          <w:b/>
          <w:bCs/>
        </w:rPr>
        <w:t xml:space="preserve">Race: consistent in direction, not significant after correction.</w:t>
      </w:r>
      <w:r>
        <w:t xml:space="preserve"> </w:t>
      </w:r>
      <w:r>
        <w:t xml:space="preserve">All twelve</w:t>
      </w:r>
      <w:r>
        <w:t xml:space="preserve"> </w:t>
      </w:r>
      <w:r>
        <w:t xml:space="preserve">White-minus-non-White contrasts are positive, from +0.005 to +0.055 ROC AUC, and seven</w:t>
      </w:r>
      <w:r>
        <w:t xml:space="preserve"> </w:t>
      </w:r>
      <w:r>
        <w:t xml:space="preserve">exclude zero unadjusted. Those seven include all four neighbour-weighted configurations,</w:t>
      </w:r>
      <w:r>
        <w:t xml:space="preserve"> </w:t>
      </w:r>
      <w:r>
        <w:t xml:space="preserve">which is a structurally different predictor reproducing the same sign. None survives</w:t>
      </w:r>
      <w:r>
        <w:t xml:space="preserve"> </w:t>
      </w:r>
      <w:r>
        <w:t xml:space="preserve">adjustment, and the smallest adjusted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is .08. Calibration moves the same way in the</w:t>
      </w:r>
      <w:r>
        <w:t xml:space="preserve"> </w:t>
      </w:r>
      <w:r>
        <w:t xml:space="preserve">feature arm, where the slope among non-White patients is 0.79 against 0.98 among White</w:t>
      </w:r>
      <w:r>
        <w:t xml:space="preserve"> </w:t>
      </w:r>
      <w:r>
        <w:t xml:space="preserve">patients, while the embedded arm holds at 0.95 against 0.97.</w:t>
      </w:r>
    </w:p>
    <w:p>
      <w:pPr>
        <w:pStyle w:val="BodyText"/>
      </w:pPr>
      <w:r>
        <w:t xml:space="preserve">The correct reading is neither</w:t>
      </w:r>
      <w:r>
        <w:t xml:space="preserve"> </w:t>
      </w:r>
      <w:r>
        <w:t xml:space="preserve">“no difference”</w:t>
      </w:r>
      <w:r>
        <w:t xml:space="preserve"> </w:t>
      </w:r>
      <w:r>
        <w:t xml:space="preserve">nor</w:t>
      </w:r>
      <w:r>
        <w:t xml:space="preserve"> </w:t>
      </w:r>
      <w:r>
        <w:t xml:space="preserve">“a gap of 0.04”</w:t>
      </w:r>
      <w:r>
        <w:t xml:space="preserve">. This cohort lacks</w:t>
      </w:r>
      <w:r>
        <w:t xml:space="preserve"> </w:t>
      </w:r>
      <w:r>
        <w:t xml:space="preserve">the power to settle it. The minority stratum carries 302 outcome events against 1,181,</w:t>
      </w:r>
      <w:r>
        <w:t xml:space="preserve"> </w:t>
      </w:r>
      <w:r>
        <w:t xml:space="preserve">so its intervals are roughly twice as wide, and a real difference of the size observed</w:t>
      </w:r>
      <w:r>
        <w:t xml:space="preserve"> </w:t>
      </w:r>
      <w:r>
        <w:t xml:space="preserve">could as easily have gone undetected.</w:t>
      </w:r>
    </w:p>
    <w:p>
      <w:pPr>
        <w:pStyle w:val="BodyText"/>
      </w:pPr>
      <w:r>
        <w:t xml:space="preserve">What the data do show is a sign consistent across twelve contrasts and three independent</w:t>
      </w:r>
      <w:r>
        <w:t xml:space="preserve"> </w:t>
      </w:r>
      <w:r>
        <w:t xml:space="preserve">predictor families, which is not the shape sampling noise usually takes. Alongside it</w:t>
      </w:r>
      <w:r>
        <w:t xml:space="preserve"> </w:t>
      </w:r>
      <w:r>
        <w:t xml:space="preserve">sits a calibration deficit concentrated in one representation. Both are reported for</w:t>
      </w:r>
      <w:r>
        <w:t xml:space="preserve"> </w:t>
      </w:r>
      <w:r>
        <w:t xml:space="preserve">that reason, and neither is claimed as established.</w:t>
      </w:r>
    </w:p>
    <w:p>
      <w:pPr>
        <w:pStyle w:val="BodyText"/>
      </w:pPr>
      <w:r>
        <w:t xml:space="preserve">What the data do show is a sign consistent across twelve contrasts and three independent</w:t>
      </w:r>
      <w:r>
        <w:t xml:space="preserve"> </w:t>
      </w:r>
      <w:r>
        <w:t xml:space="preserve">predictor families, which is not the shape sampling noise usually takes, together with a</w:t>
      </w:r>
      <w:r>
        <w:t xml:space="preserve"> </w:t>
      </w:r>
      <w:r>
        <w:t xml:space="preserve">calibration deficit concentrated in one representation. Both are reported for that</w:t>
      </w:r>
      <w:r>
        <w:t xml:space="preserve"> </w:t>
      </w:r>
      <w:r>
        <w:t xml:space="preserve">reason. Neither is claimed as established.</w:t>
      </w:r>
    </w:p>
    <w:p>
      <w:pPr>
        <w:pStyle w:val="BodyText"/>
      </w:pPr>
      <w:r>
        <w:rPr>
          <w:b/>
          <w:bCs/>
        </w:rPr>
        <w:t xml:space="preserve">What does survive is how the depression is coded.</w:t>
      </w:r>
      <w:r>
        <w:t xml:space="preserve"> </w:t>
      </w:r>
      <w:r>
        <w:t xml:space="preserve">Twenty-four of the 35 surviving</w:t>
      </w:r>
      <w:r>
        <w:t xml:space="preserve"> </w:t>
      </w:r>
      <w:r>
        <w:t xml:space="preserve">contrasts concern MDD recurrence and severity. Discrimination is higher among patients</w:t>
      </w:r>
      <w:r>
        <w:t xml:space="preserve"> </w:t>
      </w:r>
      <w:r>
        <w:t xml:space="preserve">coded with recurrent MDD, by +0.059 to +0.082 against the rest, and lower among those</w:t>
      </w:r>
      <w:r>
        <w:t xml:space="preserve"> </w:t>
      </w:r>
      <w:r>
        <w:t xml:space="preserve">coded single-episode, by −0.077 to −0.054, in twelve of twelve arm-model combinations in</w:t>
      </w:r>
      <w:r>
        <w:t xml:space="preserve"> </w:t>
      </w:r>
      <w:r>
        <w:t xml:space="preserve">each direction. Severity behaves the same way in the neighbour-weighted arm: higher among</w:t>
      </w:r>
      <w:r>
        <w:t xml:space="preserve"> </w:t>
      </w:r>
      <w:r>
        <w:t xml:space="preserve">patients coded severe at +0.086, lower among those coded unspecified at −0.051 to −0.047.</w:t>
      </w:r>
    </w:p>
    <w:p>
      <w:pPr>
        <w:pStyle w:val="BodyText"/>
      </w:pPr>
      <w:r>
        <w:t xml:space="preserve">The pattern is coherent and it is as much about documentation as about phenotype. The</w:t>
      </w:r>
      <w:r>
        <w:t xml:space="preserve"> </w:t>
      </w:r>
      <w:r>
        <w:t xml:space="preserve">models discriminate better where the diagnosis is recorded specifically and worse where</w:t>
      </w:r>
      <w:r>
        <w:t xml:space="preserve"> </w:t>
      </w:r>
      <w:r>
        <w:t xml:space="preserve">the coding is left unspecified, which is the majority of this cohort: 5,828 of 8,516</w:t>
      </w:r>
      <w:r>
        <w:t xml:space="preserve"> </w:t>
      </w:r>
      <w:r>
        <w:t xml:space="preserve">held-out patients are coded unspecified severity.</w:t>
      </w:r>
    </w:p>
    <w:p>
      <w:pPr>
        <w:pStyle w:val="BodyText"/>
      </w:pPr>
      <w:r>
        <w:rPr>
          <w:b/>
          <w:bCs/>
        </w:rPr>
        <w:t xml:space="preserve">Two sociodemographic contrasts survive</w:t>
      </w:r>
      <w:r>
        <w:t xml:space="preserve">, and both point the same way as the</w:t>
      </w:r>
      <w:r>
        <w:t xml:space="preserve"> </w:t>
      </w:r>
      <w:r>
        <w:t xml:space="preserve">documentation story. Discrimination is lower among patients aged 18-29 than among the</w:t>
      </w:r>
      <w:r>
        <w:t xml:space="preserve"> </w:t>
      </w:r>
      <w:r>
        <w:t xml:space="preserve">rest in the feature arm, by −0.071 to −0.066 in three of four classifiers with an</w:t>
      </w:r>
      <w:r>
        <w:t xml:space="preserve"> </w:t>
      </w:r>
      <w:r>
        <w:t xml:space="preserve">adjusted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of .04. It is also lower among never-married patients in the embedded arm,</w:t>
      </w:r>
      <w:r>
        <w:t xml:space="preserve"> </w:t>
      </w:r>
      <w:r>
        <w:t xml:space="preserve">by −0.054 and −0.051 with an adjusted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of .01. Younger and never-married patients</w:t>
      </w:r>
      <w:r>
        <w:t xml:space="preserve"> </w:t>
      </w:r>
      <w:r>
        <w:t xml:space="preserve">accumulate less recorded history, which is consistent with thinner records supporting</w:t>
      </w:r>
      <w:r>
        <w:t xml:space="preserve"> </w:t>
      </w:r>
      <w:r>
        <w:t xml:space="preserve">weaker prediction. This analysis cannot separate that explanation from any other.</w:t>
      </w:r>
    </w:p>
    <w:p>
      <w:pPr>
        <w:pStyle w:val="BodyText"/>
      </w:pPr>
      <w:r>
        <w:drawing>
          <wp:inline>
            <wp:extent cx="5486400" cy="7396373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../results/review/subgroups/subgroup_forest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396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  <w:i/>
          <w:iCs/>
        </w:rPr>
        <w:t xml:space="preserve">Figure S9.</w:t>
      </w:r>
      <w:r>
        <w:rPr>
          <w:i/>
          <w:iCs/>
        </w:rPr>
        <w:t xml:space="preserve"> </w:t>
      </w:r>
      <w:r>
        <w:rPr>
          <w:i/>
          <w:iCs/>
        </w:rPr>
        <w:t xml:space="preserve">Subgroup discrimination across sociodemographic strata, one</w:t>
      </w:r>
      <w:r>
        <w:rPr>
          <w:i/>
          <w:iCs/>
        </w:rPr>
        <w:t xml:space="preserve"> </w:t>
      </w:r>
      <w:r>
        <w:rPr>
          <w:i/>
          <w:iCs/>
        </w:rPr>
        <w:t xml:space="preserve">representative model per arm, with 95% bootstrap confidence intervals. The dotted</w:t>
      </w:r>
      <w:r>
        <w:rPr>
          <w:i/>
          <w:iCs/>
        </w:rPr>
        <w:t xml:space="preserve"> </w:t>
      </w:r>
      <w:r>
        <w:rPr>
          <w:i/>
          <w:iCs/>
        </w:rPr>
        <w:t xml:space="preserve">line marks chance. Strata declared not estimable are omitted.</w:t>
      </w:r>
    </w:p>
    <w:bookmarkEnd w:id="101"/>
    <w:bookmarkEnd w:id="102"/>
    <w:bookmarkStart w:id="103" w:name="X0389ef35e3274e04fa0378ae55f2552b5129795"/>
    <w:p>
      <w:pPr>
        <w:pStyle w:val="Heading1"/>
      </w:pPr>
      <w:r>
        <w:t xml:space="preserve">Supplement S11. Field-level crosswalk of the two representations</w:t>
      </w:r>
    </w:p>
    <w:p>
      <w:pPr>
        <w:pStyle w:val="FirstParagraph"/>
      </w:pPr>
      <w:r>
        <w:t xml:space="preserve">The head-to-head comparison in this paper is between two encodings of one record, so it</w:t>
      </w:r>
      <w:r>
        <w:t xml:space="preserve"> </w:t>
      </w:r>
      <w:r>
        <w:t xml:space="preserve">is only a comparison of encodings to the extent that both encodings are given the same</w:t>
      </w:r>
      <w:r>
        <w:t xml:space="preserve"> </w:t>
      </w:r>
      <w:r>
        <w:t xml:space="preserve">fields. They are not, and this section is the field-by-field accounting that difference</w:t>
      </w:r>
      <w:r>
        <w:t xml:space="preserve"> </w:t>
      </w:r>
      <w:r>
        <w:t xml:space="preserve">requires. Every row was read off the pipeline source rather than from the manuscript’s</w:t>
      </w:r>
      <w:r>
        <w:t xml:space="preserve"> </w:t>
      </w:r>
      <w:r>
        <w:t xml:space="preserve">description of it:</w:t>
      </w:r>
      <w:r>
        <w:t xml:space="preserve"> </w:t>
      </w:r>
      <w:r>
        <w:rPr>
          <w:rStyle w:val="VerbatimChar"/>
        </w:rPr>
        <w:t xml:space="preserve">scripts/data_loading/feature_vector.py</w:t>
      </w:r>
      <w:r>
        <w:t xml:space="preserve"> </w:t>
      </w:r>
      <w:r>
        <w:t xml:space="preserve">for the feature column, and</w:t>
      </w:r>
      <w:r>
        <w:t xml:space="preserve"> </w:t>
      </w:r>
      <w:r>
        <w:rPr>
          <w:rStyle w:val="VerbatimChar"/>
        </w:rPr>
        <w:t xml:space="preserve">scripts/data_loading/deterministic_narrative.py</w:t>
      </w:r>
      <w:r>
        <w:t xml:space="preserve"> </w:t>
      </w:r>
      <w:r>
        <w:t xml:space="preserve">for the rendered text.</w:t>
      </w:r>
    </w:p>
    <w:p>
      <w:pPr>
        <w:pStyle w:val="BodyText"/>
      </w:pPr>
      <w:r>
        <w:t xml:space="preserve">Temporal availability is the same for every row and is stated once here rather than</w:t>
      </w:r>
      <w:r>
        <w:t xml:space="preserve"> </w:t>
      </w:r>
      <w:r>
        <w:t xml:space="preserve">repeated thirty times. Every field is measured at or before the index date, inside the</w:t>
      </w:r>
      <w:r>
        <w:t xml:space="preserve"> </w:t>
      </w:r>
      <w:r>
        <w:t xml:space="preserve">730-day lookback window, except recorded history length, which measures the window’s own</w:t>
      </w:r>
      <w:r>
        <w:t xml:space="preserve"> </w:t>
      </w:r>
      <w:r>
        <w:t xml:space="preserve">extent. No field in either representation reads post-index data.</w:t>
      </w:r>
    </w:p>
    <w:p>
      <w:pPr>
        <w:pStyle w:val="BodyText"/>
      </w:pPr>
      <w:r>
        <w:rPr>
          <w:b/>
          <w:bCs/>
          <w:i/>
          <w:iCs/>
        </w:rPr>
        <w:t xml:space="preserve">Table S12.</w:t>
      </w:r>
      <w:r>
        <w:rPr>
          <w:i/>
          <w:iCs/>
        </w:rPr>
        <w:t xml:space="preserve"> </w:t>
      </w:r>
      <w:r>
        <w:rPr>
          <w:i/>
          <w:iCs/>
        </w:rPr>
        <w:t xml:space="preserve">Field-level crosswalk.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Asymmetric</w:t>
      </w:r>
      <w:r>
        <w:rPr>
          <w:i/>
          <w:iCs/>
        </w:rPr>
        <w:t xml:space="preserve"> </w:t>
      </w:r>
      <w:r>
        <w:rPr>
          <w:i/>
          <w:iCs/>
        </w:rPr>
        <w:t xml:space="preserve">marks a row where the two</w:t>
      </w:r>
      <w:r>
        <w:rPr>
          <w:i/>
          <w:iCs/>
        </w:rPr>
        <w:t xml:space="preserve"> </w:t>
      </w:r>
      <w:r>
        <w:rPr>
          <w:i/>
          <w:iCs/>
        </w:rPr>
        <w:t xml:space="preserve">representations do not receive the same information. Missing-value rules are as</w:t>
      </w:r>
      <w:r>
        <w:rPr>
          <w:i/>
          <w:iCs/>
        </w:rPr>
        <w:t xml:space="preserve"> </w:t>
      </w:r>
      <w:r>
        <w:rPr>
          <w:i/>
          <w:iCs/>
        </w:rPr>
        <w:t xml:space="preserve">implemented, not as intended.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 field</w:t>
            </w:r>
          </w:p>
        </w:tc>
        <w:tc>
          <w:tcPr/>
          <w:p>
            <w:pPr>
              <w:pStyle w:val="Compact"/>
            </w:pPr>
            <w:r>
              <w:t xml:space="preserve">Feature-matrix encoding</w:t>
            </w:r>
          </w:p>
        </w:tc>
        <w:tc>
          <w:tcPr/>
          <w:p>
            <w:pPr>
              <w:pStyle w:val="Compact"/>
            </w:pPr>
            <w:r>
              <w:t xml:space="preserve">Narrative rendering</w:t>
            </w:r>
          </w:p>
        </w:tc>
        <w:tc>
          <w:tcPr/>
          <w:p>
            <w:pPr>
              <w:pStyle w:val="Compact"/>
            </w:pPr>
            <w:r>
              <w:t xml:space="preserve">Missing-value rule</w:t>
            </w:r>
          </w:p>
        </w:tc>
        <w:tc>
          <w:tcPr/>
          <w:p>
            <w:pPr>
              <w:pStyle w:val="Compact"/>
            </w:pPr>
            <w:r>
              <w:t xml:space="preserve">Parity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MDD recurrence, severity</w:t>
            </w:r>
          </w:p>
        </w:tc>
        <w:tc>
          <w:tcPr/>
          <w:p>
            <w:pPr>
              <w:pStyle w:val="Compact"/>
            </w:pPr>
            <w:r>
              <w:t xml:space="preserve">two categorical columns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Condition: MDD (recurrence, severity)</w:t>
            </w:r>
          </w:p>
        </w:tc>
        <w:tc>
          <w:tcPr/>
          <w:p>
            <w:pPr>
              <w:pStyle w:val="Compact"/>
            </w:pPr>
            <w:r>
              <w:t xml:space="preserve">empty string is a level in both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 date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column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 date: YYYY-MM-DD</w:t>
            </w:r>
          </w:p>
        </w:tc>
        <w:tc>
          <w:tcPr/>
          <w:p>
            <w:pPr>
              <w:pStyle w:val="Compact"/>
            </w:pPr>
            <w:r>
              <w:t xml:space="preserve">never missing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asymmetric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Lookback window width</w:t>
            </w:r>
          </w:p>
        </w:tc>
        <w:tc>
          <w:tcPr/>
          <w:p>
            <w:pPr>
              <w:pStyle w:val="Compact"/>
            </w:pPr>
            <w:r>
              <w:t xml:space="preserve">no column (constant)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Baseline window: −730...0 days</w:t>
            </w:r>
          </w:p>
        </w:tc>
        <w:tc>
          <w:tcPr/>
          <w:p>
            <w:pPr>
              <w:pStyle w:val="Compact"/>
            </w:pPr>
            <w:r>
              <w:t xml:space="preserve">never missing</w:t>
            </w:r>
          </w:p>
        </w:tc>
        <w:tc>
          <w:tcPr/>
          <w:p>
            <w:pPr>
              <w:pStyle w:val="Compact"/>
            </w:pPr>
            <w:r>
              <w:t xml:space="preserve">matched (carries no information)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MDD-to-index gap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mdd_to_anchor_days</w:t>
            </w:r>
            <w:r>
              <w:t xml:space="preserve">, float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MDD-to-anchor gap: N days</w:t>
            </w:r>
          </w:p>
        </w:tc>
        <w:tc>
          <w:tcPr/>
          <w:p>
            <w:pPr>
              <w:pStyle w:val="Compact"/>
            </w:pPr>
            <w:r>
              <w:t xml:space="preserve">never missing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Encounter count in window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num_encounters</w:t>
            </w:r>
            <w:r>
              <w:t xml:space="preserve">, float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Encounters in window: N</w:t>
            </w:r>
          </w:p>
        </w:tc>
        <w:tc>
          <w:tcPr/>
          <w:p>
            <w:pPr>
              <w:pStyle w:val="Compact"/>
            </w:pPr>
            <w:r>
              <w:t xml:space="preserve">never missing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MDD inside lookback window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mdd_within_window</w:t>
            </w:r>
            <w:r>
              <w:t xml:space="preserve">, 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MDD within window: Present/Absent</w:t>
            </w:r>
          </w:p>
        </w:tc>
        <w:tc>
          <w:tcPr/>
          <w:p>
            <w:pPr>
              <w:pStyle w:val="Compact"/>
            </w:pPr>
            <w:r>
              <w:t xml:space="preserve">never missing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Recorded pre-index history length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pre_anchor_history_days</w:t>
            </w:r>
            <w:r>
              <w:t xml:space="preserve">, float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rendered</w:t>
            </w:r>
          </w:p>
        </w:tc>
        <w:tc>
          <w:tcPr/>
          <w:p>
            <w:pPr>
              <w:pStyle w:val="Compact"/>
            </w:pPr>
            <w:r>
              <w:t xml:space="preserve">never missing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asymmetric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AgeInYears</w:t>
            </w:r>
            <w:r>
              <w:t xml:space="preserve">, float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AgeInYears: N</w:t>
            </w:r>
          </w:p>
        </w:tc>
        <w:tc>
          <w:tcPr/>
          <w:p>
            <w:pPr>
              <w:pStyle w:val="Compact"/>
            </w:pPr>
            <w:r>
              <w:t xml:space="preserve">never missing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Sex</w:t>
            </w:r>
          </w:p>
        </w:tc>
        <w:tc>
          <w:tcPr/>
          <w:p>
            <w:pPr>
              <w:pStyle w:val="Compact"/>
            </w:pPr>
            <w:r>
              <w:t xml:space="preserve">categorical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Sex: X</w:t>
            </w:r>
          </w:p>
        </w:tc>
        <w:tc>
          <w:tcPr/>
          <w:p>
            <w:pPr>
              <w:pStyle w:val="Compact"/>
            </w:pPr>
            <w:r>
              <w:t xml:space="preserve">absent value becomes its own one-hot level; narrative prints the raw token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Race / ethnicity</w:t>
            </w:r>
          </w:p>
        </w:tc>
        <w:tc>
          <w:tcPr/>
          <w:p>
            <w:pPr>
              <w:pStyle w:val="Compact"/>
            </w:pPr>
            <w:r>
              <w:t xml:space="preserve">categorical, seven levels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Race_Ethnicity: X</w:t>
            </w:r>
          </w:p>
        </w:tc>
        <w:tc>
          <w:tcPr/>
          <w:p>
            <w:pPr>
              <w:pStyle w:val="Compact"/>
            </w:pPr>
            <w:r>
              <w:t xml:space="preserve">own one-hot level; narrative prints raw token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Preferred language</w:t>
            </w:r>
          </w:p>
        </w:tc>
        <w:tc>
          <w:tcPr/>
          <w:p>
            <w:pPr>
              <w:pStyle w:val="Compact"/>
            </w:pPr>
            <w:r>
              <w:t xml:space="preserve">categorical,</w:t>
            </w:r>
            <w:r>
              <w:t xml:space="preserve"> </w:t>
            </w:r>
            <w:r>
              <w:rPr>
                <w:b/>
                <w:bCs/>
              </w:rPr>
              <w:t xml:space="preserve">collapsed to five levels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raw Epic value</w:t>
            </w:r>
          </w:p>
        </w:tc>
        <w:tc>
          <w:tcPr/>
          <w:p>
            <w:pPr>
              <w:pStyle w:val="Compact"/>
            </w:pPr>
            <w:r>
              <w:t xml:space="preserve">own one-hot level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asymmetric (finer in narrative)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Marital status</w:t>
            </w:r>
          </w:p>
        </w:tc>
        <w:tc>
          <w:tcPr/>
          <w:p>
            <w:pPr>
              <w:pStyle w:val="Compact"/>
            </w:pPr>
            <w:r>
              <w:t xml:space="preserve">categorical,</w:t>
            </w:r>
            <w:r>
              <w:t xml:space="preserve"> </w:t>
            </w:r>
            <w:r>
              <w:rPr>
                <w:b/>
                <w:bCs/>
              </w:rPr>
              <w:t xml:space="preserve">collapsed to five levels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raw Epic value</w:t>
            </w:r>
          </w:p>
        </w:tc>
        <w:tc>
          <w:tcPr/>
          <w:p>
            <w:pPr>
              <w:pStyle w:val="Compact"/>
            </w:pPr>
            <w:r>
              <w:t xml:space="preserve">own one-hot level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asymmetric (finer in narrative)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Religion</w:t>
            </w:r>
          </w:p>
        </w:tc>
        <w:tc>
          <w:tcPr/>
          <w:p>
            <w:pPr>
              <w:pStyle w:val="Compact"/>
            </w:pPr>
            <w:r>
              <w:t xml:space="preserve">categorical,</w:t>
            </w:r>
            <w:r>
              <w:t xml:space="preserve"> </w:t>
            </w:r>
            <w:r>
              <w:rPr>
                <w:b/>
                <w:bCs/>
              </w:rPr>
              <w:t xml:space="preserve">collapsed to five levels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raw Epic value</w:t>
            </w:r>
          </w:p>
        </w:tc>
        <w:tc>
          <w:tcPr/>
          <w:p>
            <w:pPr>
              <w:pStyle w:val="Compact"/>
            </w:pPr>
            <w:r>
              <w:t xml:space="preserve">own one-hot level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asymmetric (finer in narrative)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Smoking status</w:t>
            </w:r>
          </w:p>
        </w:tc>
        <w:tc>
          <w:tcPr/>
          <w:p>
            <w:pPr>
              <w:pStyle w:val="Compact"/>
            </w:pPr>
            <w:r>
              <w:t xml:space="preserve">categorical,</w:t>
            </w:r>
            <w:r>
              <w:t xml:space="preserve"> </w:t>
            </w:r>
            <w:r>
              <w:rPr>
                <w:b/>
                <w:bCs/>
              </w:rPr>
              <w:t xml:space="preserve">collapsed to three levels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raw Epic value</w:t>
            </w:r>
          </w:p>
        </w:tc>
        <w:tc>
          <w:tcPr/>
          <w:p>
            <w:pPr>
              <w:pStyle w:val="Compact"/>
            </w:pPr>
            <w:r>
              <w:t xml:space="preserve">own one-hot level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asymmetric (finer in narrative)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Sexual orientation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column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SexualOrientation: 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rendered as the literal token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nan</w:t>
            </w:r>
            <w:r>
              <w:t xml:space="preserve"> </w:t>
            </w:r>
            <w:r>
              <w:t xml:space="preserve">when recorded-but-empty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asymmetric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determinants of health</w:t>
            </w:r>
          </w:p>
        </w:tc>
        <w:tc>
          <w:tcPr/>
          <w:p>
            <w:pPr>
              <w:pStyle w:val="Compact"/>
            </w:pPr>
            <w:r>
              <w:t xml:space="preserve">nine boolean columns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SDOH:</w:t>
            </w:r>
            <w:r>
              <w:t xml:space="preserve"> </w:t>
            </w:r>
            <w:r>
              <w:t xml:space="preserve">list of present categories only</w:t>
            </w:r>
          </w:p>
        </w:tc>
        <w:tc>
          <w:tcPr/>
          <w:p>
            <w:pPr>
              <w:pStyle w:val="Compact"/>
            </w:pPr>
            <w:r>
              <w:t xml:space="preserve">absence is an explicit False in the matrix, an omission from the list in the narrative</w:t>
            </w:r>
          </w:p>
        </w:tc>
        <w:tc>
          <w:tcPr/>
          <w:p>
            <w:pPr>
              <w:pStyle w:val="Compact"/>
            </w:pPr>
            <w:r>
              <w:t xml:space="preserve">matched in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BMI, systolic BP, diastolic BP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dropped at 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BMI: N \| BP (mean): S/D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dropped, so no rule; narrative prints</w:t>
            </w:r>
            <w:r>
              <w:t xml:space="preserve"> </w:t>
            </w:r>
            <w:r>
              <w:rPr>
                <w:rStyle w:val="VerbatimChar"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asymmetric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Psychiatric comorbidity (8 flags)</w:t>
            </w:r>
          </w:p>
        </w:tc>
        <w:tc>
          <w:tcPr/>
          <w:p>
            <w:pPr>
              <w:pStyle w:val="Compact"/>
            </w:pPr>
            <w:r>
              <w:t xml:space="preserve">eight boolean columns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ARM: Present/Absent</w:t>
            </w:r>
            <w:r>
              <w:t xml:space="preserve"> </w:t>
            </w:r>
            <w:r>
              <w:t xml:space="preserve">for all eight</w:t>
            </w:r>
          </w:p>
        </w:tc>
        <w:tc>
          <w:tcPr/>
          <w:p>
            <w:pPr>
              <w:pStyle w:val="Compact"/>
            </w:pPr>
            <w:r>
              <w:t xml:space="preserve">never missing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Suicidality flag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SUICIDE FLAG (2y): Present/Absent</w:t>
            </w:r>
          </w:p>
        </w:tc>
        <w:tc>
          <w:tcPr/>
          <w:p>
            <w:pPr>
              <w:pStyle w:val="Compact"/>
            </w:pPr>
            <w:r>
              <w:t xml:space="preserve">never missing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Substance-use specifics (10)</w:t>
            </w:r>
          </w:p>
        </w:tc>
        <w:tc>
          <w:tcPr/>
          <w:p>
            <w:pPr>
              <w:pStyle w:val="Compact"/>
            </w:pPr>
            <w:r>
              <w:t xml:space="preserve">ten boolean columns</w:t>
            </w:r>
          </w:p>
        </w:tc>
        <w:tc>
          <w:tcPr/>
          <w:p>
            <w:pPr>
              <w:pStyle w:val="Compact"/>
            </w:pPr>
            <w:r>
              <w:t xml:space="preserve">names of present substances only</w:t>
            </w:r>
          </w:p>
        </w:tc>
        <w:tc>
          <w:tcPr/>
          <w:p>
            <w:pPr>
              <w:pStyle w:val="Compact"/>
            </w:pPr>
            <w:r>
              <w:t xml:space="preserve">absence explicit in matrix, omitted in narrative</w:t>
            </w:r>
          </w:p>
        </w:tc>
        <w:tc>
          <w:tcPr/>
          <w:p>
            <w:pPr>
              <w:pStyle w:val="Compact"/>
            </w:pPr>
            <w:r>
              <w:t xml:space="preserve">matched in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 medical comorbidity (4)</w:t>
            </w:r>
          </w:p>
        </w:tc>
        <w:tc>
          <w:tcPr/>
          <w:p>
            <w:pPr>
              <w:pStyle w:val="Compact"/>
            </w:pPr>
            <w:r>
              <w:t xml:space="preserve">four boolean columns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ARM: Present/Absent</w:t>
            </w:r>
            <w:r>
              <w:t xml:space="preserve"> </w:t>
            </w:r>
            <w:r>
              <w:t xml:space="preserve">for all four</w:t>
            </w:r>
          </w:p>
        </w:tc>
        <w:tc>
          <w:tcPr/>
          <w:p>
            <w:pPr>
              <w:pStyle w:val="Compact"/>
            </w:pPr>
            <w:r>
              <w:t xml:space="preserve">never missing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 adequate AD trials</w:t>
            </w:r>
          </w:p>
        </w:tc>
        <w:tc>
          <w:tcPr/>
          <w:p>
            <w:pPr>
              <w:pStyle w:val="Compact"/>
            </w:pPr>
            <w:r>
              <w:t xml:space="preserve">five</w:t>
            </w:r>
            <w:r>
              <w:t xml:space="preserve"> </w:t>
            </w:r>
            <w:r>
              <w:rPr>
                <w:rStyle w:val="VerbatimChar"/>
              </w:rPr>
              <w:t xml:space="preserve">trials_&lt;class&gt;</w:t>
            </w:r>
            <w:r>
              <w:t xml:space="preserve"> </w:t>
            </w:r>
            <w:r>
              <w:t xml:space="preserve">counts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Prior adequate AD trials: CLASS: n</w:t>
            </w:r>
            <w:r>
              <w:t xml:space="preserve"> </w:t>
            </w:r>
            <w:r>
              <w:t xml:space="preserve">for all five</w:t>
            </w:r>
          </w:p>
        </w:tc>
        <w:tc>
          <w:tcPr/>
          <w:p>
            <w:pPr>
              <w:pStyle w:val="Compact"/>
            </w:pPr>
            <w:r>
              <w:t xml:space="preserve">never missing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Benzodiazepine days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benzo_days_coverage</w:t>
            </w:r>
            <w:r>
              <w:t xml:space="preserve">, float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Benzodiazepine days (2y): N</w:t>
            </w:r>
          </w:p>
        </w:tc>
        <w:tc>
          <w:tcPr/>
          <w:p>
            <w:pPr>
              <w:pStyle w:val="Compact"/>
            </w:pPr>
            <w:r>
              <w:t xml:space="preserve">never missing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Hypnotics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hypnotics_burden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count only</w:t>
            </w:r>
          </w:p>
        </w:tc>
        <w:tc>
          <w:tcPr/>
          <w:p>
            <w:pPr>
              <w:pStyle w:val="Compact"/>
            </w:pPr>
            <w:r>
              <w:t xml:space="preserve">count plus</w:t>
            </w:r>
            <w:r>
              <w:t xml:space="preserve"> </w:t>
            </w:r>
            <w:r>
              <w:rPr>
                <w:b/>
                <w:bCs/>
              </w:rPr>
              <w:t xml:space="preserve">ingredient names</w:t>
            </w:r>
          </w:p>
        </w:tc>
        <w:tc>
          <w:tcPr/>
          <w:p>
            <w:pPr>
              <w:pStyle w:val="Compact"/>
            </w:pPr>
            <w:r>
              <w:t xml:space="preserve">never missing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asymmetric (finer in narrative)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medications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polypharmacy_count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count only</w:t>
            </w:r>
          </w:p>
        </w:tc>
        <w:tc>
          <w:tcPr/>
          <w:p>
            <w:pPr>
              <w:pStyle w:val="Compact"/>
            </w:pPr>
            <w:r>
              <w:t xml:space="preserve">count plus</w:t>
            </w:r>
            <w:r>
              <w:t xml:space="preserve"> </w:t>
            </w:r>
            <w:r>
              <w:rPr>
                <w:b/>
                <w:bCs/>
              </w:rPr>
              <w:t xml:space="preserve">ingredient names</w:t>
            </w:r>
          </w:p>
        </w:tc>
        <w:tc>
          <w:tcPr/>
          <w:p>
            <w:pPr>
              <w:pStyle w:val="Compact"/>
            </w:pPr>
            <w:r>
              <w:t xml:space="preserve">never missing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asymmetric (finer in narrative)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NSAIDs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nsaid_count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count only</w:t>
            </w:r>
          </w:p>
        </w:tc>
        <w:tc>
          <w:tcPr/>
          <w:p>
            <w:pPr>
              <w:pStyle w:val="Compact"/>
            </w:pPr>
            <w:r>
              <w:t xml:space="preserve">count plus</w:t>
            </w:r>
            <w:r>
              <w:t xml:space="preserve"> </w:t>
            </w:r>
            <w:r>
              <w:rPr>
                <w:b/>
                <w:bCs/>
              </w:rPr>
              <w:t xml:space="preserve">ingredient names</w:t>
            </w:r>
          </w:p>
        </w:tc>
        <w:tc>
          <w:tcPr/>
          <w:p>
            <w:pPr>
              <w:pStyle w:val="Compact"/>
            </w:pPr>
            <w:r>
              <w:t xml:space="preserve">never missing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asymmetric (finer in narrative)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Psychiatric inpatient days, ED visits</w:t>
            </w:r>
          </w:p>
        </w:tc>
        <w:tc>
          <w:tcPr/>
          <w:p>
            <w:pPr>
              <w:pStyle w:val="Compact"/>
            </w:pPr>
            <w:r>
              <w:t xml:space="preserve">two float columns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Psych inpatient days: N \| ED psych visits: N</w:t>
            </w:r>
          </w:p>
        </w:tc>
        <w:tc>
          <w:tcPr/>
          <w:p>
            <w:pPr>
              <w:pStyle w:val="Compact"/>
            </w:pPr>
            <w:r>
              <w:t xml:space="preserve">never missing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Prescribing-safety comorbidity (2)</w:t>
            </w:r>
          </w:p>
        </w:tc>
        <w:tc>
          <w:tcPr/>
          <w:p>
            <w:pPr>
              <w:pStyle w:val="Compact"/>
            </w:pPr>
            <w:r>
              <w:t xml:space="preserve">two boolean columns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ARM: Present/Absent</w:t>
            </w:r>
          </w:p>
        </w:tc>
        <w:tc>
          <w:tcPr/>
          <w:p>
            <w:pPr>
              <w:pStyle w:val="Compact"/>
            </w:pPr>
            <w:r>
              <w:t xml:space="preserve">never missing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the crosswalk shows.</w:t>
      </w:r>
      <w:r>
        <w:t xml:space="preserve"> </w:t>
      </w:r>
      <w:r>
        <w:t xml:space="preserve">The imbalance is not symmetric, and it is larger than a</w:t>
      </w:r>
      <w:r>
        <w:t xml:space="preserve"> </w:t>
      </w:r>
      <w:r>
        <w:t xml:space="preserve">count of fields suggests. Eleven rows are asymmetric and ten of them favour the</w:t>
      </w:r>
      <w:r>
        <w:t xml:space="preserve"> </w:t>
      </w:r>
      <w:r>
        <w:t xml:space="preserve">narrative:</w:t>
      </w:r>
    </w:p>
    <w:p>
      <w:pPr>
        <w:pStyle w:val="Compact"/>
        <w:numPr>
          <w:ilvl w:val="0"/>
          <w:numId w:val="1008"/>
        </w:numPr>
      </w:pPr>
      <w:r>
        <w:t xml:space="preserve">two fields it renders and the matrix has no column for, the index date and sexual</w:t>
      </w:r>
      <w:r>
        <w:t xml:space="preserve"> </w:t>
      </w:r>
      <w:r>
        <w:t xml:space="preserve">orientation;</w:t>
      </w:r>
    </w:p>
    <w:p>
      <w:pPr>
        <w:pStyle w:val="Compact"/>
        <w:numPr>
          <w:ilvl w:val="0"/>
          <w:numId w:val="1008"/>
        </w:numPr>
      </w:pPr>
      <w:r>
        <w:t xml:space="preserve">three vital signs the matrix drops at load;</w:t>
      </w:r>
    </w:p>
    <w:p>
      <w:pPr>
        <w:pStyle w:val="Compact"/>
        <w:numPr>
          <w:ilvl w:val="0"/>
          <w:numId w:val="1008"/>
        </w:numPr>
      </w:pPr>
      <w:r>
        <w:t xml:space="preserve">four sociodemographic fields where the matrix collapses raw Epic values into coarse</w:t>
      </w:r>
      <w:r>
        <w:t xml:space="preserve"> </w:t>
      </w:r>
      <w:r>
        <w:t xml:space="preserve">categories and the narrative prints the raw token;</w:t>
      </w:r>
    </w:p>
    <w:p>
      <w:pPr>
        <w:pStyle w:val="Compact"/>
        <w:numPr>
          <w:ilvl w:val="0"/>
          <w:numId w:val="1008"/>
        </w:numPr>
      </w:pPr>
      <w:r>
        <w:t xml:space="preserve">three medication blocks where the matrix carries a count and the narrative names the</w:t>
      </w:r>
      <w:r>
        <w:t xml:space="preserve"> </w:t>
      </w:r>
      <w:r>
        <w:t xml:space="preserve">ingredients.</w:t>
      </w:r>
    </w:p>
    <w:p>
      <w:pPr>
        <w:pStyle w:val="FirstParagraph"/>
      </w:pPr>
      <w:r>
        <w:t xml:space="preserve">One row favours the feature matrix: recorded history length, which the narrative does not</w:t>
      </w:r>
      <w:r>
        <w:t xml:space="preserve"> </w:t>
      </w:r>
      <w:r>
        <w:t xml:space="preserve">render.</w:t>
      </w:r>
    </w:p>
    <w:p>
      <w:pPr>
        <w:pStyle w:val="BodyText"/>
      </w:pPr>
      <w:r>
        <w:t xml:space="preserve">Two rules are worth stating because they are easy to assume wrongly. Missingness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silently imputed on the categorical side of the feature matrix. An absent value</w:t>
      </w:r>
      <w:r>
        <w:t xml:space="preserve"> </w:t>
      </w:r>
      <w:r>
        <w:t xml:space="preserve">becomes its own one-hot level, so the model can use the fact of a missing record. And the</w:t>
      </w:r>
      <w:r>
        <w:t xml:space="preserve"> </w:t>
      </w:r>
      <w:r>
        <w:t xml:space="preserve">vital signs were dropped rather than imputed, so the published feature arm never saw them</w:t>
      </w:r>
      <w:r>
        <w:t xml:space="preserve"> </w:t>
      </w:r>
      <w:r>
        <w:t xml:space="preserve">in any form. That reason is mechanical rather than principled: a numeric column carrying</w:t>
      </w:r>
      <w:r>
        <w:t xml:space="preserve"> </w:t>
      </w:r>
      <w:r>
        <w:t xml:space="preserve">nulls cannot pass through the pipeline’s scaler.</w:t>
      </w:r>
    </w:p>
    <w:p>
      <w:pPr>
        <w:pStyle w:val="BodyText"/>
      </w:pPr>
      <w:r>
        <w:t xml:space="preserve">Whether this imbalance carries the head-to-head result was tested rather than conceded.</w:t>
      </w:r>
      <w:r>
        <w:t xml:space="preserve"> </w:t>
      </w:r>
      <w:r>
        <w:t xml:space="preserve">The two largest asymmetries were closed and the primary comparison re-run on matched</w:t>
      </w:r>
      <w:r>
        <w:t xml:space="preserve"> </w:t>
      </w:r>
      <w:r>
        <w:t xml:space="preserve">inputs. The feature matrix received the vitals under an explicit missingness indicator</w:t>
      </w:r>
      <w:r>
        <w:t xml:space="preserve"> </w:t>
      </w:r>
      <w:r>
        <w:t xml:space="preserve">per block with within-fold median imputation, and the narrative rendered recorded</w:t>
      </w:r>
      <w:r>
        <w:t xml:space="preserve"> </w:t>
      </w:r>
      <w:r>
        <w:t xml:space="preserve">history length. The best-versus-best contrast remains a null on matched inputs. That</w:t>
      </w:r>
      <w:r>
        <w:t xml:space="preserve"> </w:t>
      </w:r>
      <w:r>
        <w:t xml:space="preserve">analysis is reported separately and is available from the corresponding author, and the</w:t>
      </w:r>
      <w:r>
        <w:t xml:space="preserve"> </w:t>
      </w:r>
      <w:r>
        <w:t xml:space="preserve">main text states the imbalance itself, which is what bounds the claim.</w:t>
      </w:r>
    </w:p>
    <w:bookmarkEnd w:id="103"/>
    <w:bookmarkStart w:id="104" w:name="Xb2e8d4a01fd23c9ad9a3533792f5bfcc88f3d4b"/>
    <w:p>
      <w:pPr>
        <w:pStyle w:val="Heading1"/>
      </w:pPr>
      <w:r>
        <w:t xml:space="preserve">Supplement S12. Subgroup outcome prevalence</w:t>
      </w:r>
    </w:p>
    <w:p>
      <w:pPr>
        <w:pStyle w:val="FirstParagraph"/>
      </w:pPr>
      <w:r>
        <w:t xml:space="preserve">This section reports the</w:t>
      </w:r>
      <w:r>
        <w:t xml:space="preserve"> </w:t>
      </w:r>
      <w:r>
        <w:rPr>
          <w:i/>
          <w:iCs/>
        </w:rPr>
        <w:t xml:space="preserve">within-subgroup prevalence</w:t>
      </w:r>
      <w:r>
        <w:t xml:space="preserve"> </w:t>
      </w:r>
      <w:r>
        <w:t xml:space="preserve">of TRD: the number of TRD-positive</w:t>
      </w:r>
      <w:r>
        <w:t xml:space="preserve"> </w:t>
      </w:r>
      <w:r>
        <w:t xml:space="preserve">patients divided by the total patients in that subgroup. Main-text Table 1 gives column</w:t>
      </w:r>
      <w:r>
        <w:t xml:space="preserve"> </w:t>
      </w:r>
      <w:r>
        <w:t xml:space="preserve">percentages conditioned on TRD status rather than row percentages, so the prevalences</w:t>
      </w:r>
      <w:r>
        <w:t xml:space="preserve"> </w:t>
      </w:r>
      <w:r>
        <w:t xml:space="preserve">below were computed from the raw subgroup counts. The 18-29 age band is the worked</w:t>
      </w:r>
      <w:r>
        <w:t xml:space="preserve"> </w:t>
      </w:r>
      <w:r>
        <w:t xml:space="preserve">example: its TRD prevalence is 20.6%, or 1,135 TRD-positive patients out of 5,513.</w:t>
      </w:r>
    </w:p>
    <w:p>
      <w:pPr>
        <w:pStyle w:val="BodyText"/>
      </w:pPr>
      <w:r>
        <w:t xml:space="preserve">TRD prevalence varied modestly across subgroups. By sex it was 18.0% in women against</w:t>
      </w:r>
      <w:r>
        <w:t xml:space="preserve"> </w:t>
      </w:r>
      <w:r>
        <w:t xml:space="preserve">16.2% in men. By age band it followed a clear gradient. The two youngest bands were</w:t>
      </w:r>
      <w:r>
        <w:t xml:space="preserve"> </w:t>
      </w:r>
      <w:r>
        <w:t xml:space="preserve">highest and nearly tied, at 20.6% in 18-29-year-olds (1,135 of 5,513) and 20.3% in</w:t>
      </w:r>
      <w:r>
        <w:t xml:space="preserve"> </w:t>
      </w:r>
      <w:r>
        <w:t xml:space="preserve">30-44-year-olds (1,836 of 9,025). It then fell through 18.4% at 45-64 (2,445 of 13,268)</w:t>
      </w:r>
      <w:r>
        <w:t xml:space="preserve"> </w:t>
      </w:r>
      <w:r>
        <w:t xml:space="preserve">to 13.8% in those aged 65 or older (2,039 of 14,773).</w:t>
      </w:r>
    </w:p>
    <w:p>
      <w:pPr>
        <w:pStyle w:val="BodyText"/>
      </w:pPr>
      <w:r>
        <w:t xml:space="preserve">Several small social-determinant strata showed elevated but imprecise prevalence: an</w:t>
      </w:r>
      <w:r>
        <w:t xml:space="preserve"> </w:t>
      </w:r>
      <w:r>
        <w:t xml:space="preserve">upbringing-related issue at 33.0%, a legal or criminal issue at 26.1%, an employment</w:t>
      </w:r>
      <w:r>
        <w:t xml:space="preserve"> </w:t>
      </w:r>
      <w:r>
        <w:t xml:space="preserve">issue at 24.0%, and a family or support-group issue at 22.9%. Patients with missing race</w:t>
      </w:r>
      <w:r>
        <w:t xml:space="preserve"> </w:t>
      </w:r>
      <w:r>
        <w:t xml:space="preserve">or ethnicity did not show elevated prevalence, at 15.5% against the 17.5% base rate.</w:t>
      </w:r>
      <w:r>
        <w:t xml:space="preserve"> </w:t>
      </w:r>
      <w:r>
        <w:t xml:space="preserve">Strata with fewer than 20 patients set a small-cell ceiling on the subgroup performance</w:t>
      </w:r>
      <w:r>
        <w:t xml:space="preserve"> </w:t>
      </w:r>
      <w:r>
        <w:t xml:space="preserve">analysis in Supplement S10. A psychosocial-circumstances flag, at n = 12, is one such</w:t>
      </w:r>
      <w:r>
        <w:t xml:space="preserve"> </w:t>
      </w:r>
      <w:r>
        <w:t xml:space="preserve">stratum.</w:t>
      </w:r>
    </w:p>
    <w:bookmarkEnd w:id="104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2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doNotShadeFormData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86A"/>
    <w:rsid w:val="00007D03"/>
    <w:rsid w:val="00030551"/>
    <w:rsid w:val="00037A74"/>
    <w:rsid w:val="00037FF2"/>
    <w:rsid w:val="00070D00"/>
    <w:rsid w:val="00071DF8"/>
    <w:rsid w:val="00076A71"/>
    <w:rsid w:val="0008698A"/>
    <w:rsid w:val="00094896"/>
    <w:rsid w:val="00096A15"/>
    <w:rsid w:val="000A70D6"/>
    <w:rsid w:val="000C0133"/>
    <w:rsid w:val="00107C2E"/>
    <w:rsid w:val="0014226F"/>
    <w:rsid w:val="001520A1"/>
    <w:rsid w:val="00191924"/>
    <w:rsid w:val="00196B3B"/>
    <w:rsid w:val="001A05B3"/>
    <w:rsid w:val="001A2615"/>
    <w:rsid w:val="001D10AE"/>
    <w:rsid w:val="00206388"/>
    <w:rsid w:val="00206502"/>
    <w:rsid w:val="00213673"/>
    <w:rsid w:val="00214B40"/>
    <w:rsid w:val="002411BD"/>
    <w:rsid w:val="002B2F6E"/>
    <w:rsid w:val="002B77D5"/>
    <w:rsid w:val="002E0296"/>
    <w:rsid w:val="002E067F"/>
    <w:rsid w:val="002F62B6"/>
    <w:rsid w:val="00310A9A"/>
    <w:rsid w:val="003125AC"/>
    <w:rsid w:val="00330F8D"/>
    <w:rsid w:val="003320AC"/>
    <w:rsid w:val="00344770"/>
    <w:rsid w:val="0035660C"/>
    <w:rsid w:val="003676BB"/>
    <w:rsid w:val="003928DE"/>
    <w:rsid w:val="003973AC"/>
    <w:rsid w:val="003A733F"/>
    <w:rsid w:val="003B0DF8"/>
    <w:rsid w:val="003B27DD"/>
    <w:rsid w:val="003C153A"/>
    <w:rsid w:val="003D5375"/>
    <w:rsid w:val="003F0301"/>
    <w:rsid w:val="003F252F"/>
    <w:rsid w:val="00420DCC"/>
    <w:rsid w:val="00424EA6"/>
    <w:rsid w:val="004415E5"/>
    <w:rsid w:val="004801D6"/>
    <w:rsid w:val="0048059C"/>
    <w:rsid w:val="00481007"/>
    <w:rsid w:val="00485018"/>
    <w:rsid w:val="00493C77"/>
    <w:rsid w:val="004F2332"/>
    <w:rsid w:val="004F7A07"/>
    <w:rsid w:val="00502F46"/>
    <w:rsid w:val="005102F5"/>
    <w:rsid w:val="00513FDA"/>
    <w:rsid w:val="00515897"/>
    <w:rsid w:val="00524D72"/>
    <w:rsid w:val="00530038"/>
    <w:rsid w:val="00540483"/>
    <w:rsid w:val="00541F75"/>
    <w:rsid w:val="005A02D2"/>
    <w:rsid w:val="005A0F2C"/>
    <w:rsid w:val="005B35BE"/>
    <w:rsid w:val="005B4A90"/>
    <w:rsid w:val="005B629A"/>
    <w:rsid w:val="005F1BDE"/>
    <w:rsid w:val="0060675C"/>
    <w:rsid w:val="006078E6"/>
    <w:rsid w:val="006439F1"/>
    <w:rsid w:val="00657882"/>
    <w:rsid w:val="00660442"/>
    <w:rsid w:val="006627B9"/>
    <w:rsid w:val="0066684A"/>
    <w:rsid w:val="006712AA"/>
    <w:rsid w:val="006773E3"/>
    <w:rsid w:val="006A391F"/>
    <w:rsid w:val="006B143B"/>
    <w:rsid w:val="006B4792"/>
    <w:rsid w:val="006B7E71"/>
    <w:rsid w:val="00701ACF"/>
    <w:rsid w:val="007057F4"/>
    <w:rsid w:val="00706DC1"/>
    <w:rsid w:val="0071770B"/>
    <w:rsid w:val="00722248"/>
    <w:rsid w:val="00722C3A"/>
    <w:rsid w:val="00722F92"/>
    <w:rsid w:val="007528E1"/>
    <w:rsid w:val="007603DB"/>
    <w:rsid w:val="00767F0A"/>
    <w:rsid w:val="007765CE"/>
    <w:rsid w:val="00791F8E"/>
    <w:rsid w:val="007B3BE6"/>
    <w:rsid w:val="007C715D"/>
    <w:rsid w:val="007F2BF5"/>
    <w:rsid w:val="00806E83"/>
    <w:rsid w:val="008437D1"/>
    <w:rsid w:val="00864852"/>
    <w:rsid w:val="008670BB"/>
    <w:rsid w:val="00870464"/>
    <w:rsid w:val="008755D9"/>
    <w:rsid w:val="008A0F4C"/>
    <w:rsid w:val="008B48A7"/>
    <w:rsid w:val="008F63BB"/>
    <w:rsid w:val="00900035"/>
    <w:rsid w:val="00907F09"/>
    <w:rsid w:val="00933EA5"/>
    <w:rsid w:val="00936FCE"/>
    <w:rsid w:val="00937947"/>
    <w:rsid w:val="00944E43"/>
    <w:rsid w:val="00953E86"/>
    <w:rsid w:val="00985B41"/>
    <w:rsid w:val="00992BB4"/>
    <w:rsid w:val="00994909"/>
    <w:rsid w:val="009A4AA5"/>
    <w:rsid w:val="009B2639"/>
    <w:rsid w:val="009B63D0"/>
    <w:rsid w:val="009B6879"/>
    <w:rsid w:val="009C53A1"/>
    <w:rsid w:val="009D0D40"/>
    <w:rsid w:val="009F08E5"/>
    <w:rsid w:val="009F67D4"/>
    <w:rsid w:val="00A0257D"/>
    <w:rsid w:val="00A11260"/>
    <w:rsid w:val="00A23F35"/>
    <w:rsid w:val="00A3321E"/>
    <w:rsid w:val="00A3786A"/>
    <w:rsid w:val="00A4097A"/>
    <w:rsid w:val="00A40AA3"/>
    <w:rsid w:val="00A43F45"/>
    <w:rsid w:val="00A573B0"/>
    <w:rsid w:val="00A6168A"/>
    <w:rsid w:val="00A630DC"/>
    <w:rsid w:val="00A67C96"/>
    <w:rsid w:val="00A71201"/>
    <w:rsid w:val="00AA09CF"/>
    <w:rsid w:val="00AA0B58"/>
    <w:rsid w:val="00AB72C9"/>
    <w:rsid w:val="00AC3D29"/>
    <w:rsid w:val="00AD604E"/>
    <w:rsid w:val="00AE4CC3"/>
    <w:rsid w:val="00B237DD"/>
    <w:rsid w:val="00B43296"/>
    <w:rsid w:val="00B4482F"/>
    <w:rsid w:val="00B51DC3"/>
    <w:rsid w:val="00B603F8"/>
    <w:rsid w:val="00B6406A"/>
    <w:rsid w:val="00B7651A"/>
    <w:rsid w:val="00BB6DC8"/>
    <w:rsid w:val="00BC13CB"/>
    <w:rsid w:val="00BD390B"/>
    <w:rsid w:val="00BD481C"/>
    <w:rsid w:val="00BF1209"/>
    <w:rsid w:val="00C21270"/>
    <w:rsid w:val="00C306F5"/>
    <w:rsid w:val="00C456E6"/>
    <w:rsid w:val="00C45A80"/>
    <w:rsid w:val="00C56211"/>
    <w:rsid w:val="00C840AA"/>
    <w:rsid w:val="00CC5FD4"/>
    <w:rsid w:val="00CD72EB"/>
    <w:rsid w:val="00CF6CCD"/>
    <w:rsid w:val="00D02829"/>
    <w:rsid w:val="00D268F4"/>
    <w:rsid w:val="00D26D40"/>
    <w:rsid w:val="00D71C20"/>
    <w:rsid w:val="00D726B6"/>
    <w:rsid w:val="00D841FB"/>
    <w:rsid w:val="00D86683"/>
    <w:rsid w:val="00D95E82"/>
    <w:rsid w:val="00DA2851"/>
    <w:rsid w:val="00DB7ECA"/>
    <w:rsid w:val="00DC3980"/>
    <w:rsid w:val="00DF27B9"/>
    <w:rsid w:val="00E021F9"/>
    <w:rsid w:val="00E06F7F"/>
    <w:rsid w:val="00E126B5"/>
    <w:rsid w:val="00E26F76"/>
    <w:rsid w:val="00E3402F"/>
    <w:rsid w:val="00E351C4"/>
    <w:rsid w:val="00E435C7"/>
    <w:rsid w:val="00E4474F"/>
    <w:rsid w:val="00E45F55"/>
    <w:rsid w:val="00E53B95"/>
    <w:rsid w:val="00E550EE"/>
    <w:rsid w:val="00E60C0C"/>
    <w:rsid w:val="00E70D5C"/>
    <w:rsid w:val="00E76244"/>
    <w:rsid w:val="00E85A59"/>
    <w:rsid w:val="00E91BEC"/>
    <w:rsid w:val="00EA18F4"/>
    <w:rsid w:val="00EA4FB4"/>
    <w:rsid w:val="00EB6E35"/>
    <w:rsid w:val="00ED0BE8"/>
    <w:rsid w:val="00EE068D"/>
    <w:rsid w:val="00EF57C1"/>
    <w:rsid w:val="00EF5BB5"/>
    <w:rsid w:val="00F05D4A"/>
    <w:rsid w:val="00F255AE"/>
    <w:rsid w:val="00F361D8"/>
    <w:rsid w:val="00F44404"/>
    <w:rsid w:val="00F537A6"/>
    <w:rsid w:val="00F55EE2"/>
    <w:rsid w:val="00F63A18"/>
    <w:rsid w:val="00F6600B"/>
    <w:rsid w:val="00F81E81"/>
    <w:rsid w:val="00F821FD"/>
    <w:rsid w:val="00FB5C65"/>
    <w:rsid w:val="00FD5790"/>
    <w:rsid w:val="00FE1DBB"/>
    <w:rsid w:val="00FF4961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88" Target="media/rId88.png" /><Relationship Type="http://schemas.openxmlformats.org/officeDocument/2006/relationships/image" Id="rId85" Target="media/rId85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60" Target="media/rId60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6" Target="media/rId76.png" /><Relationship Type="http://schemas.openxmlformats.org/officeDocument/2006/relationships/image" Id="rId73" Target="media/rId73.png" /><Relationship Type="http://schemas.openxmlformats.org/officeDocument/2006/relationships/image" Id="rId41" Target="media/rId41.png" /><Relationship Type="http://schemas.openxmlformats.org/officeDocument/2006/relationships/image" Id="rId98" Target="media/rId9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2026-10-10T14:41:32Z</dcterms:created>
  <dcterms:modified xsi:type="dcterms:W3CDTF">2026-10-10T14:41:32Z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