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156.png" ContentType="image/png"/>
  <Override PartName="/word/media/rId159.png" ContentType="image/png"/>
  <Override PartName="/word/media/rId129.png" ContentType="image/png"/>
  <Override PartName="/word/media/rId132.png" ContentType="image/png"/>
  <Override PartName="/word/media/rId219.png" ContentType="image/png"/>
  <Override PartName="/word/media/rId72.png" ContentType="image/png"/>
  <Override PartName="/word/media/rId75.png" ContentType="image/png"/>
  <Override PartName="/word/media/rId199.png" ContentType="image/png"/>
  <Override PartName="/word/media/rId202.png" ContentType="image/png"/>
  <Override PartName="/word/media/rId97.png" ContentType="image/png"/>
  <Override PartName="/word/media/rId38.png" ContentType="image/png"/>
  <Override PartName="/word/media/rId34.png" ContentType="image/png"/>
  <Override PartName="/word/media/rId212.png" ContentType="image/png"/>
  <Override PartName="/word/media/rId206.png" ContentType="image/png"/>
  <Override PartName="/word/media/rId48.png" ContentType="image/png"/>
  <Override PartName="/word/media/rId42.png" ContentType="image/png"/>
  <Override PartName="/word/media/rId45.png" ContentType="image/png"/>
  <Override PartName="/word/media/rId51.png" ContentType="image/png"/>
  <Override PartName="/word/media/rId209.png" ContentType="image/png"/>
  <Override PartName="/word/media/rId215.png" ContentType="image/png"/>
  <Override PartName="/word/media/rId78.png" ContentType="image/png"/>
  <Override PartName="/word/media/rId81.png" ContentType="image/png"/>
  <Override PartName="/word/media/rId84.png" ContentType="image/png"/>
  <Override PartName="/word/media/rId135.png" ContentType="image/png"/>
  <Override PartName="/word/media/rId138.png" ContentType="image/png"/>
  <Override PartName="/word/media/rId141.png" ContentType="image/png"/>
  <Override PartName="/word/media/rId62.png" ContentType="image/png"/>
  <Override PartName="/word/media/rId65.png" ContentType="image/png"/>
  <Override PartName="/word/media/rId68.png" ContentType="image/png"/>
  <Override PartName="/word/media/rId108.png" ContentType="image/png"/>
  <Override PartName="/word/media/rId111.png" ContentType="image/png"/>
  <Override PartName="/word/media/rId114.png" ContentType="image/png"/>
  <Override PartName="/word/media/rId56.png" ContentType="image/png"/>
  <Override PartName="/word/media/rId59.png" ContentType="image/png"/>
  <Override PartName="/word/media/rId193.png" ContentType="image/png"/>
  <Override PartName="/word/media/rId196.png" ContentType="image/png"/>
  <Override PartName="/word/media/rId91.png" ContentType="image/png"/>
  <Override PartName="/word/media/rId150.png" ContentType="image/png"/>
  <Override PartName="/word/media/rId153.png" ContentType="image/png"/>
  <Override PartName="/word/media/rId123.png" ContentType="image/png"/>
  <Override PartName="/word/media/rId126.png" ContentType="image/png"/>
  <Override PartName="/word/media/rId88.png" ContentType="image/png"/>
  <Override PartName="/word/media/rId144.png" ContentType="image/png"/>
  <Override PartName="/word/media/rId147.png" ContentType="image/png"/>
  <Override PartName="/word/media/rId117.png" ContentType="image/png"/>
  <Override PartName="/word/media/rId120.png" ContentType="image/png"/>
  <Override PartName="/word/media/rId165.png" ContentType="image/png"/>
  <Override PartName="/word/media/rId162.png" ContentType="image/png"/>
  <Override PartName="/word/media/rId103.png" ContentType="image/png"/>
  <Override PartName="/word/media/rId100.png" ContentType="image/png"/>
  <Override PartName="/word/media/rId172.png" ContentType="image/png"/>
  <Override PartName="/word/media/rId175.png" ContentType="image/png"/>
  <Override PartName="/word/media/rId169.png" ContentType="image/png"/>
  <Override PartName="/word/media/rId178.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20"/>
    <w:bookmarkStart w:id="21"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95% CI 19.9–20.1) with and 401,298 (80.0%, 95% CI 79.9–80.1) without a problem-list depression flag.</w:t>
      </w:r>
    </w:p>
    <w:p>
      <w:pPr>
        <w:pStyle w:val="BodyText"/>
      </w:pPr>
      <w:r>
        <w:t xml:space="preserve">Sampling used problem-list flags, whereas eligibility used encounter diagnoses. Of 42,579 eligible patients, 12,530 (29.4%, 95% CI 29.0–29.9)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1"/>
    <w:bookmarkStart w:id="22"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Remaining</w:t>
            </w:r>
          </w:p>
        </w:tc>
        <w:tc>
          <w:tcPr/>
          <w:p>
            <w:pPr>
              <w:pStyle w:val="Compact"/>
              <w:jc w:val="left"/>
            </w:pPr>
            <w:r>
              <w:rPr>
                <w:b/>
                <w:bCs/>
              </w:rPr>
              <w:t xml:space="preserve">Rejected at stage</w:t>
            </w:r>
          </w:p>
        </w:tc>
      </w:tr>
      <w:tr>
        <w:tc>
          <w:tcPr/>
          <w:p>
            <w:pPr>
              <w:pStyle w:val="Compact"/>
              <w:jc w:val="left"/>
            </w:pPr>
            <w:r>
              <w:t xml:space="preserve">Delivered extract (4:1 case-enriched)</w:t>
            </w:r>
          </w:p>
        </w:tc>
        <w:tc>
          <w:tcPr/>
          <w:p>
            <w:pPr>
              <w:pStyle w:val="Compact"/>
              <w:jc w:val="left"/>
            </w:pPr>
            <w:r>
              <w:t xml:space="preserve">501,718</w:t>
            </w:r>
          </w:p>
        </w:tc>
        <w:tc>
          <w:tcPr/>
          <w:p>
            <w:pPr>
              <w:pStyle w:val="Compact"/>
              <w:jc w:val="left"/>
            </w:pPr>
            <w:r>
              <w:t xml:space="preserve">—</w:t>
            </w:r>
          </w:p>
        </w:tc>
      </w:tr>
      <w:tr>
        <w:tc>
          <w:tcPr/>
          <w:p>
            <w:pPr>
              <w:pStyle w:val="Compact"/>
              <w:jc w:val="left"/>
            </w:pPr>
            <w:r>
              <w:t xml:space="preserve">MDD-diagnosed</w:t>
            </w:r>
          </w:p>
        </w:tc>
        <w:tc>
          <w:tcPr/>
          <w:p>
            <w:pPr>
              <w:pStyle w:val="Compact"/>
              <w:jc w:val="left"/>
            </w:pPr>
            <w:r>
              <w:t xml:space="preserve">144,110</w:t>
            </w:r>
          </w:p>
        </w:tc>
        <w:tc>
          <w:tcPr/>
          <w:p>
            <w:pPr>
              <w:pStyle w:val="Compact"/>
              <w:jc w:val="left"/>
            </w:pPr>
            <w:r>
              <w:t xml:space="preserve">357,608</w:t>
            </w:r>
          </w:p>
        </w:tc>
      </w:tr>
      <w:tr>
        <w:tc>
          <w:tcPr/>
          <w:p>
            <w:pPr>
              <w:pStyle w:val="Compact"/>
              <w:jc w:val="left"/>
            </w:pPr>
            <w:r>
              <w:t xml:space="preserve">Not bipolar AND not schizophrenia-spectrum</w:t>
            </w:r>
          </w:p>
        </w:tc>
        <w:tc>
          <w:tcPr/>
          <w:p>
            <w:pPr>
              <w:pStyle w:val="Compact"/>
              <w:jc w:val="left"/>
            </w:pPr>
            <w:r>
              <w:t xml:space="preserve">124,188</w:t>
            </w:r>
          </w:p>
        </w:tc>
        <w:tc>
          <w:tcPr/>
          <w:p>
            <w:pPr>
              <w:pStyle w:val="Compact"/>
              <w:jc w:val="left"/>
            </w:pPr>
            <w:r>
              <w:t xml:space="preserve">19,922</w:t>
            </w:r>
          </w:p>
        </w:tc>
      </w:tr>
      <w:tr>
        <w:tc>
          <w:tcPr/>
          <w:p>
            <w:pPr>
              <w:pStyle w:val="Compact"/>
              <w:jc w:val="left"/>
            </w:pPr>
            <w:r>
              <w:t xml:space="preserve">Has antidepressant index prescription</w:t>
            </w:r>
          </w:p>
        </w:tc>
        <w:tc>
          <w:tcPr/>
          <w:p>
            <w:pPr>
              <w:pStyle w:val="Compact"/>
              <w:jc w:val="left"/>
            </w:pPr>
            <w:r>
              <w:t xml:space="preserve">107,636</w:t>
            </w:r>
          </w:p>
        </w:tc>
        <w:tc>
          <w:tcPr/>
          <w:p>
            <w:pPr>
              <w:pStyle w:val="Compact"/>
              <w:jc w:val="left"/>
            </w:pPr>
            <w:r>
              <w:t xml:space="preserve">16,552</w:t>
            </w:r>
          </w:p>
        </w:tc>
      </w:tr>
      <w:tr>
        <w:tc>
          <w:tcPr/>
          <w:p>
            <w:pPr>
              <w:pStyle w:val="Compact"/>
              <w:jc w:val="left"/>
            </w:pPr>
            <w:r>
              <w:t xml:space="preserve">Has MDD before index</w:t>
            </w:r>
          </w:p>
        </w:tc>
        <w:tc>
          <w:tcPr/>
          <w:p>
            <w:pPr>
              <w:pStyle w:val="Compact"/>
              <w:jc w:val="left"/>
            </w:pPr>
            <w:r>
              <w:t xml:space="preserve">103,458</w:t>
            </w:r>
          </w:p>
        </w:tc>
        <w:tc>
          <w:tcPr/>
          <w:p>
            <w:pPr>
              <w:pStyle w:val="Compact"/>
              <w:jc w:val="left"/>
            </w:pPr>
            <w:r>
              <w:t xml:space="preserve">4,178</w:t>
            </w:r>
          </w:p>
        </w:tc>
      </w:tr>
      <w:tr>
        <w:tc>
          <w:tcPr/>
          <w:p>
            <w:pPr>
              <w:pStyle w:val="Compact"/>
              <w:jc w:val="left"/>
            </w:pPr>
            <w:r>
              <w:t xml:space="preserve">≥2 years pre-index history</w:t>
            </w:r>
          </w:p>
        </w:tc>
        <w:tc>
          <w:tcPr/>
          <w:p>
            <w:pPr>
              <w:pStyle w:val="Compact"/>
              <w:jc w:val="left"/>
            </w:pPr>
            <w:r>
              <w:t xml:space="preserve">54,215</w:t>
            </w:r>
          </w:p>
        </w:tc>
        <w:tc>
          <w:tcPr/>
          <w:p>
            <w:pPr>
              <w:pStyle w:val="Compact"/>
              <w:jc w:val="left"/>
            </w:pPr>
            <w:r>
              <w:t xml:space="preserve">49,243</w:t>
            </w:r>
          </w:p>
        </w:tc>
      </w:tr>
      <w:tr>
        <w:tc>
          <w:tcPr/>
          <w:p>
            <w:pPr>
              <w:pStyle w:val="Compact"/>
              <w:jc w:val="left"/>
            </w:pPr>
            <w:r>
              <w:t xml:space="preserve">≥1 year post-index follow-up (final cohort)</w:t>
            </w:r>
          </w:p>
        </w:tc>
        <w:tc>
          <w:tcPr/>
          <w:p>
            <w:pPr>
              <w:pStyle w:val="Compact"/>
              <w:jc w:val="left"/>
            </w:pPr>
            <w:r>
              <w:t xml:space="preserve">42,579</w:t>
            </w:r>
          </w:p>
        </w:tc>
        <w:tc>
          <w:tcPr/>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(95% CI 23.6–24.4) had some recorded pre-index exposure and 14.7% (95% CI 14.4–15.1) had a course meeting the 42-day duration threshold. The index was the first recorded prescription on or after a documented depression diagnosis, not necessarily the first lifetime exposure or first adequate trial.</w:t>
      </w:r>
    </w:p>
    <w:bookmarkEnd w:id="22"/>
    <w:bookmarkStart w:id="23"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3"/>
    <w:bookmarkStart w:id="24" w:name="X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Predictor</w:t>
            </w:r>
          </w:p>
        </w:tc>
      </w:tr>
      <w:tr>
        <w:tc>
          <w:tcPr/>
          <w:p>
            <w:pPr>
              <w:pStyle w:val="Compact"/>
              <w:jc w:val="left"/>
            </w:pPr>
            <w:r>
              <w:t xml:space="preserve">MDD history before index (days)</w:t>
            </w:r>
          </w:p>
        </w:tc>
      </w:tr>
      <w:tr>
        <w:tc>
          <w:tcPr/>
          <w:p>
            <w:pPr>
              <w:pStyle w:val="Compact"/>
              <w:jc w:val="left"/>
            </w:pPr>
            <w:r>
              <w:t xml:space="preserve">History length (days)</w:t>
            </w:r>
          </w:p>
        </w:tc>
      </w:tr>
      <w:tr>
        <w:tc>
          <w:tcPr/>
          <w:p>
            <w:pPr>
              <w:pStyle w:val="Compact"/>
              <w:jc w:val="left"/>
            </w:pPr>
            <w:r>
              <w:t xml:space="preserve">Encounter count</w:t>
            </w:r>
          </w:p>
        </w:tc>
      </w:tr>
      <w:tr>
        <w:tc>
          <w:tcPr/>
          <w:p>
            <w:pPr>
              <w:pStyle w:val="Compact"/>
              <w:jc w:val="left"/>
            </w:pPr>
            <w:r>
              <w:t xml:space="preserve">ED visits (count)</w:t>
            </w:r>
          </w:p>
        </w:tc>
      </w:tr>
      <w:tr>
        <w:tc>
          <w:tcPr/>
          <w:p>
            <w:pPr>
              <w:pStyle w:val="Compact"/>
              <w:jc w:val="left"/>
            </w:pPr>
            <w:r>
              <w:t xml:space="preserve">Inpatient days before index</w:t>
            </w:r>
          </w:p>
        </w:tc>
      </w:tr>
      <w:tr>
        <w:tc>
          <w:tcPr/>
          <w:p>
            <w:pPr>
              <w:pStyle w:val="Compact"/>
              <w:jc w:val="left"/>
            </w:pPr>
            <w:r>
              <w:t xml:space="preserve">Age (years)</w:t>
            </w:r>
          </w:p>
        </w:tc>
      </w:tr>
      <w:tr>
        <w:tc>
          <w:tcPr/>
          <w:p>
            <w:pPr>
              <w:pStyle w:val="Compact"/>
              <w:jc w:val="left"/>
            </w:pPr>
            <w:r>
              <w:t xml:space="preserve">Medications active at index</w:t>
            </w:r>
          </w:p>
        </w:tc>
      </w:tr>
      <w:tr>
        <w:tc>
          <w:tcPr/>
          <w:p>
            <w:pPr>
              <w:pStyle w:val="Compact"/>
              <w:jc w:val="left"/>
            </w:pPr>
            <w:r>
              <w:t xml:space="preserve">Anti-inflammatories active at index</w:t>
            </w:r>
          </w:p>
        </w:tc>
      </w:tr>
      <w:tr>
        <w:tc>
          <w:tcPr/>
          <w:p>
            <w:pPr>
              <w:pStyle w:val="Compact"/>
              <w:jc w:val="left"/>
            </w:pPr>
            <w:r>
              <w:t xml:space="preserve">Sleep meds active at index</w:t>
            </w:r>
          </w:p>
        </w:tc>
      </w:tr>
      <w:tr>
        <w:tc>
          <w:tcPr/>
          <w:p>
            <w:pPr>
              <w:pStyle w:val="Compact"/>
              <w:jc w:val="left"/>
            </w:pPr>
            <w:r>
              <w:t xml:space="preserve">Anxiolytic days before index</w:t>
            </w:r>
          </w:p>
        </w:tc>
      </w:tr>
      <w:tr>
        <w:tc>
          <w:tcPr/>
          <w:p>
            <w:pPr>
              <w:pStyle w:val="Compact"/>
              <w:jc w:val="left"/>
            </w:pPr>
            <w:r>
              <w:t xml:space="preserve">Bupropion trials (6+ wk)</w:t>
            </w:r>
          </w:p>
        </w:tc>
      </w:tr>
      <w:tr>
        <w:tc>
          <w:tcPr/>
          <w:p>
            <w:pPr>
              <w:pStyle w:val="Compact"/>
              <w:jc w:val="left"/>
            </w:pPr>
            <w:r>
              <w:t xml:space="preserve">Mirtazapine trials (6+ wk)</w:t>
            </w:r>
          </w:p>
        </w:tc>
      </w:tr>
      <w:tr>
        <w:tc>
          <w:tcPr/>
          <w:p>
            <w:pPr>
              <w:pStyle w:val="Compact"/>
              <w:jc w:val="left"/>
            </w:pPr>
            <w:r>
              <w:t xml:space="preserve">SNRI trials (6+ wk)</w:t>
            </w:r>
          </w:p>
        </w:tc>
      </w:tr>
      <w:tr>
        <w:tc>
          <w:tcPr/>
          <w:p>
            <w:pPr>
              <w:pStyle w:val="Compact"/>
              <w:jc w:val="left"/>
            </w:pPr>
            <w:r>
              <w:t xml:space="preserve">SSRI trials (6+ wk)</w:t>
            </w:r>
          </w:p>
        </w:tc>
      </w:tr>
      <w:tr>
        <w:tc>
          <w:tcPr/>
          <w:p>
            <w:pPr>
              <w:pStyle w:val="Compact"/>
              <w:jc w:val="left"/>
            </w:pPr>
            <w:r>
              <w:t xml:space="preserve">Vortioxetine trials (6+ wk)</w:t>
            </w:r>
          </w:p>
        </w:tc>
      </w:tr>
    </w:tbl>
    <w:p>
      <w:pPr>
        <w:pStyle w:val="BodyText"/>
      </w:pPr>
      <w:r>
        <w:t xml:space="preserve">Table M3. Binary predictors by domain.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Block</w:t>
            </w:r>
          </w:p>
        </w:tc>
        <w:tc>
          <w:tcPr/>
          <w:p>
            <w:pPr>
              <w:pStyle w:val="Compact"/>
              <w:jc w:val="left"/>
            </w:pPr>
            <w:r>
              <w:rPr>
                <w:b/>
                <w:bCs/>
              </w:rPr>
              <w:t xml:space="preserve">Predictors</w:t>
            </w:r>
          </w:p>
        </w:tc>
      </w:tr>
      <w:tr>
        <w:tc>
          <w:tcPr/>
          <w:p>
            <w:pPr>
              <w:pStyle w:val="Compact"/>
              <w:jc w:val="left"/>
            </w:pPr>
            <w:r>
              <w:t xml:space="preserve">Clinical flags (3)</w:t>
            </w:r>
          </w:p>
        </w:tc>
        <w:tc>
          <w:tcPr/>
          <w:p>
            <w:pPr>
              <w:pStyle w:val="Compact"/>
              <w:jc w:val="left"/>
            </w:pPr>
            <w:r>
              <w:t xml:space="preserve">MDD in history; Suicidality; Augmentation therapy</w:t>
            </w:r>
          </w:p>
        </w:tc>
      </w:tr>
      <w:tr>
        <w:tc>
          <w:tcPr/>
          <w:p>
            <w:pPr>
              <w:pStyle w:val="Compact"/>
              <w:jc w:val="left"/>
            </w:pPr>
            <w:r>
              <w:t xml:space="preserve">Psychiatric comorbidities (8)</w:t>
            </w:r>
          </w:p>
        </w:tc>
        <w:tc>
          <w:tcPr/>
          <w:p>
            <w:pPr>
              <w:pStyle w:val="Compact"/>
              <w:jc w:val="left"/>
            </w:pPr>
            <w:r>
              <w:t xml:space="preserve">Adjustment disorder; Anxiety disorder; Dysthymia (chronic depression); Insomnia; OCD; PTSD; Social anxiety disorder; Substance use disorder (any)</w:t>
            </w:r>
          </w:p>
        </w:tc>
      </w:tr>
      <w:tr>
        <w:tc>
          <w:tcPr/>
          <w:p>
            <w:pPr>
              <w:pStyle w:val="Compact"/>
              <w:jc w:val="left"/>
            </w:pPr>
            <w:r>
              <w:t xml:space="preserve">Medical comorbidities (4)</w:t>
            </w:r>
          </w:p>
        </w:tc>
        <w:tc>
          <w:tcPr/>
          <w:p>
            <w:pPr>
              <w:pStyle w:val="Compact"/>
              <w:jc w:val="left"/>
            </w:pPr>
            <w:r>
              <w:t xml:space="preserve">Chronic pain; Diabetes; High cholesterol; Thyroid disorder</w:t>
            </w:r>
          </w:p>
        </w:tc>
      </w:tr>
      <w:tr>
        <w:tc>
          <w:tcPr/>
          <w:p>
            <w:pPr>
              <w:pStyle w:val="Compact"/>
              <w:jc w:val="left"/>
            </w:pPr>
            <w:r>
              <w:t xml:space="preserve">Prescribing-constraint / safety (2)</w:t>
            </w:r>
          </w:p>
        </w:tc>
        <w:tc>
          <w:tcPr/>
          <w:p>
            <w:pPr>
              <w:pStyle w:val="Compact"/>
              <w:jc w:val="left"/>
            </w:pPr>
            <w:r>
              <w:t xml:space="preserve">Seizure disorder; Uncontrolled hypertension</w:t>
            </w:r>
          </w:p>
        </w:tc>
      </w:tr>
      <w:tr>
        <w:tc>
          <w:tcPr/>
          <w:p>
            <w:pPr>
              <w:pStyle w:val="Compact"/>
              <w:jc w:val="left"/>
            </w:pPr>
            <w:r>
              <w:t xml:space="preserve">Substance use disorders (10)</w:t>
            </w:r>
          </w:p>
        </w:tc>
        <w:tc>
          <w:tcPr/>
          <w:p>
            <w:pPr>
              <w:pStyle w:val="Compact"/>
              <w:jc w:val="left"/>
            </w:pPr>
            <w:r>
              <w:t xml:space="preserve">Alcohol; Cannabis; Cocaine; Hallucinogen; Inhalant; Nicotine; Opioid; Other stimulant; Other substance; Sedative/hypnotic</w:t>
            </w:r>
          </w:p>
        </w:tc>
      </w:tr>
      <w:tr>
        <w:tc>
          <w:tcPr/>
          <w:p>
            <w:pPr>
              <w:pStyle w:val="Compact"/>
              <w:jc w:val="left"/>
            </w:pPr>
            <w:r>
              <w:t xml:space="preserve">Social determinants of health (9)</w:t>
            </w:r>
          </w:p>
        </w:tc>
        <w:tc>
          <w:tcPr/>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BodyText"/>
      </w:pPr>
      <w:r>
        <w:t xml:space="preserve">Table M4. Categorical fields and encoded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Field</w:t>
            </w:r>
          </w:p>
        </w:tc>
        <w:tc>
          <w:tcPr/>
          <w:p>
            <w:pPr>
              <w:pStyle w:val="Compact"/>
              <w:jc w:val="left"/>
            </w:pPr>
            <w:r>
              <w:rPr>
                <w:b/>
                <w:bCs/>
              </w:rPr>
              <w:t xml:space="preserve">One-hot columns</w:t>
            </w:r>
          </w:p>
        </w:tc>
        <w:tc>
          <w:tcPr/>
          <w:p>
            <w:pPr>
              <w:pStyle w:val="Compact"/>
              <w:jc w:val="left"/>
            </w:pPr>
            <w:r>
              <w:rPr>
                <w:b/>
                <w:bCs/>
              </w:rPr>
              <w:t xml:space="preserve">Levels</w:t>
            </w:r>
          </w:p>
        </w:tc>
      </w:tr>
      <w:tr>
        <w:tc>
          <w:tcPr/>
          <w:p>
            <w:pPr>
              <w:pStyle w:val="Compact"/>
              <w:jc w:val="left"/>
            </w:pPr>
            <w:r>
              <w:t xml:space="preserve">Sex</w:t>
            </w:r>
          </w:p>
        </w:tc>
        <w:tc>
          <w:tcPr/>
          <w:p>
            <w:pPr>
              <w:pStyle w:val="Compact"/>
              <w:jc w:val="left"/>
            </w:pPr>
            <w:r>
              <w:t xml:space="preserve">1</w:t>
            </w:r>
          </w:p>
        </w:tc>
        <w:tc>
          <w:tcPr/>
          <w:p>
            <w:pPr>
              <w:pStyle w:val="Compact"/>
              <w:jc w:val="left"/>
            </w:pPr>
            <w:r>
              <w:t xml:space="preserve">Male (Female = reference, dropped)</w:t>
            </w:r>
          </w:p>
        </w:tc>
      </w:tr>
      <w:tr>
        <w:tc>
          <w:tcPr/>
          <w:p>
            <w:pPr>
              <w:pStyle w:val="Compact"/>
              <w:jc w:val="left"/>
            </w:pPr>
            <w:r>
              <w:t xml:space="preserve">Preferred language</w:t>
            </w:r>
          </w:p>
        </w:tc>
        <w:tc>
          <w:tcPr/>
          <w:p>
            <w:pPr>
              <w:pStyle w:val="Compact"/>
              <w:jc w:val="left"/>
            </w:pPr>
            <w:r>
              <w:t xml:space="preserve">6</w:t>
            </w:r>
          </w:p>
        </w:tc>
        <w:tc>
          <w:tcPr/>
          <w:p>
            <w:pPr>
              <w:pStyle w:val="Compact"/>
              <w:jc w:val="left"/>
            </w:pPr>
            <w:r>
              <w:t xml:space="preserve">Asian/Pacific Islander; English; Other; Other Indo-European; Spanish; Missing</w:t>
            </w:r>
          </w:p>
        </w:tc>
      </w:tr>
      <w:tr>
        <w:tc>
          <w:tcPr/>
          <w:p>
            <w:pPr>
              <w:pStyle w:val="Compact"/>
              <w:jc w:val="left"/>
            </w:pPr>
            <w:r>
              <w:t xml:space="preserve">Marital status</w:t>
            </w:r>
          </w:p>
        </w:tc>
        <w:tc>
          <w:tcPr/>
          <w:p>
            <w:pPr>
              <w:pStyle w:val="Compact"/>
              <w:jc w:val="left"/>
            </w:pPr>
            <w:r>
              <w:t xml:space="preserve">6</w:t>
            </w:r>
          </w:p>
        </w:tc>
        <w:tc>
          <w:tcPr/>
          <w:p>
            <w:pPr>
              <w:pStyle w:val="Compact"/>
              <w:jc w:val="left"/>
            </w:pPr>
            <w:r>
              <w:t xml:space="preserve">Divorced; Never married; Married; Separated; Widowed; Missing</w:t>
            </w:r>
          </w:p>
        </w:tc>
      </w:tr>
      <w:tr>
        <w:tc>
          <w:tcPr/>
          <w:p>
            <w:pPr>
              <w:pStyle w:val="Compact"/>
              <w:jc w:val="left"/>
            </w:pPr>
            <w:r>
              <w:t xml:space="preserve">Religion</w:t>
            </w:r>
          </w:p>
        </w:tc>
        <w:tc>
          <w:tcPr/>
          <w:p>
            <w:pPr>
              <w:pStyle w:val="Compact"/>
              <w:jc w:val="left"/>
            </w:pPr>
            <w:r>
              <w:t xml:space="preserve">6</w:t>
            </w:r>
          </w:p>
        </w:tc>
        <w:tc>
          <w:tcPr/>
          <w:p>
            <w:pPr>
              <w:pStyle w:val="Compact"/>
              <w:jc w:val="left"/>
            </w:pPr>
            <w:r>
              <w:t xml:space="preserve">Catholic; Non-Christian; Orthodox; Other/Unknown; Protestant; Missing</w:t>
            </w:r>
          </w:p>
        </w:tc>
      </w:tr>
      <w:tr>
        <w:tc>
          <w:tcPr/>
          <w:p>
            <w:pPr>
              <w:pStyle w:val="Compact"/>
              <w:jc w:val="left"/>
            </w:pPr>
            <w:r>
              <w:t xml:space="preserve">Smoking status</w:t>
            </w:r>
          </w:p>
        </w:tc>
        <w:tc>
          <w:tcPr/>
          <w:p>
            <w:pPr>
              <w:pStyle w:val="Compact"/>
              <w:jc w:val="left"/>
            </w:pPr>
            <w:r>
              <w:t xml:space="preserve">4</w:t>
            </w:r>
          </w:p>
        </w:tc>
        <w:tc>
          <w:tcPr/>
          <w:p>
            <w:pPr>
              <w:pStyle w:val="Compact"/>
              <w:jc w:val="left"/>
            </w:pPr>
            <w:r>
              <w:t xml:space="preserve">Current; Former; Never; Missing</w:t>
            </w:r>
          </w:p>
        </w:tc>
      </w:tr>
      <w:tr>
        <w:tc>
          <w:tcPr/>
          <w:p>
            <w:pPr>
              <w:pStyle w:val="Compact"/>
              <w:jc w:val="left"/>
            </w:pPr>
            <w:r>
              <w:t xml:space="preserve">Race/ethnicity</w:t>
            </w:r>
          </w:p>
        </w:tc>
        <w:tc>
          <w:tcPr/>
          <w:p>
            <w:pPr>
              <w:pStyle w:val="Compact"/>
              <w:jc w:val="left"/>
            </w:pPr>
            <w:r>
              <w:t xml:space="preserve">8</w:t>
            </w:r>
          </w:p>
        </w:tc>
        <w:tc>
          <w:tcPr/>
          <w:p>
            <w:pPr>
              <w:pStyle w:val="Compact"/>
              <w:jc w:val="left"/>
            </w:pPr>
            <w:r>
              <w:t xml:space="preserve">American Indian/Alaska Native; Asian; Black/African American; Hispanic/Latino; Multi-race; Native Hawaiian/Pacific Islander; White/Caucasian; Missing</w:t>
            </w:r>
          </w:p>
        </w:tc>
      </w:tr>
      <w:tr>
        <w:tc>
          <w:tcPr/>
          <w:p>
            <w:pPr>
              <w:pStyle w:val="Compact"/>
              <w:jc w:val="left"/>
            </w:pPr>
            <w:r>
              <w:t xml:space="preserve">MDD recurrence</w:t>
            </w:r>
          </w:p>
        </w:tc>
        <w:tc>
          <w:tcPr/>
          <w:p>
            <w:pPr>
              <w:pStyle w:val="Compact"/>
              <w:jc w:val="left"/>
            </w:pPr>
            <w:r>
              <w:t xml:space="preserve">4</w:t>
            </w:r>
          </w:p>
        </w:tc>
        <w:tc>
          <w:tcPr/>
          <w:p>
            <w:pPr>
              <w:pStyle w:val="Compact"/>
              <w:jc w:val="left"/>
            </w:pPr>
            <w:r>
              <w:t xml:space="preserve">Unspecified; Single episode; Recurrent; Dysthymia (chronic depression)</w:t>
            </w:r>
          </w:p>
        </w:tc>
      </w:tr>
      <w:tr>
        <w:tc>
          <w:tcPr/>
          <w:p>
            <w:pPr>
              <w:pStyle w:val="Compact"/>
              <w:jc w:val="left"/>
            </w:pPr>
            <w:r>
              <w:t xml:space="preserve">MDD severity</w:t>
            </w:r>
          </w:p>
        </w:tc>
        <w:tc>
          <w:tcPr/>
          <w:p>
            <w:pPr>
              <w:pStyle w:val="Compact"/>
              <w:jc w:val="left"/>
            </w:pPr>
            <w:r>
              <w:t xml:space="preserve">6</w:t>
            </w:r>
          </w:p>
        </w:tc>
        <w:tc>
          <w:tcPr/>
          <w:p>
            <w:pPr>
              <w:pStyle w:val="Compact"/>
              <w:jc w:val="left"/>
            </w:pPr>
            <w:r>
              <w:t xml:space="preserve">Unspecified; Mild; Moderate; Severe; Psychotic; Remission</w:t>
            </w:r>
          </w:p>
        </w:tc>
      </w:tr>
    </w:tbl>
    <w:bookmarkEnd w:id="24"/>
    <w:bookmarkStart w:id="25"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5"/>
    <w:bookmarkStart w:id="26"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(95% CI 21.7–22.5)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“Missing,”</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6"/>
    <w:bookmarkStart w:id="27" w:name="m7-sample-size-and-model-dimensionality"/>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27"/>
    <w:bookmarkStart w:id="28" w:name="m8-training-and-test-split"/>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28"/>
    <w:bookmarkStart w:id="29" w:name="m9-model-development"/>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29"/>
    <w:bookmarkStart w:id="30" w:name="m10-neighbor-prediction"/>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off"/>
                  <m:supHide m:val="off"/>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k</m:t>
                          </m:r>
                        </m:sup>
                        <m:e>
                          <m:sSub>
                            <m:e>
                              <m:r>
                                <m:t>w</m:t>
                              </m:r>
                            </m:e>
                            <m:sub>
                              <m:r>
                                <m:t>i</m:t>
                              </m:r>
                            </m:sub>
                          </m:sSub>
                        </m:e>
                      </m:nary>
                    </m:e>
                  </m:d>
                </m:e>
                <m:sup>
                  <m:r>
                    <m:t>2</m:t>
                  </m:r>
                </m:sup>
              </m:sSup>
            </m:num>
            <m:den>
              <m:nary>
                <m:naryPr>
                  <m:chr m:val="∑"/>
                  <m:limLoc m:val="undOvr"/>
                  <m:subHide m:val="off"/>
                  <m:supHide m:val="off"/>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Logistic-regression-weighted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 To compare encoders whose logistic regressions were fitted under different penalties, the dimensions each model used were counted as the fewest holding 90% of its absolute coefficient mass, because a non-zero count is the full width under an L2 penalty. These counts describe the fitted models and carry no sampling interval.</w:t>
      </w:r>
    </w:p>
    <w:p>
      <w:pPr>
        <w:pStyle w:val="BodyText"/>
      </w:pPr>
      <w:r>
        <w:t xml:space="preserve">Neighbors were chosen in 2 ways, nearest and random. Nearest retrieval selected the k most similar training patients. Random retrieval drew k training patients at random for each test patient and averaged their outcomes with equal weights. A sweep evaluated every k from 1 to all 34,063 training patients for both, nearest retrieval under both metrics and</w:t>
      </w:r>
      <w:r>
        <w:t xml:space="preserve"> </w:t>
      </w:r>
      <m:oMath>
        <m:r>
          <m:t>α</m:t>
        </m:r>
      </m:oMath>
      <w:r>
        <w:t xml:space="preserve"> </w:t>
      </w:r>
      <w:r>
        <w:t xml:space="preserve">= 1, 2, and 5. Random retrieval was nested so that k + 1 neighbors extend the k already drawn, and repeated in 1,000 draws seeded from the study seed; its band at each k is the 2.5th to 97.5th percentile of the AUC across draws. Each retrieval arm, the 2 nearest-neighbor metrics and random retrieval, therefore yields a curve over k, and no single k is the result. Where one value is needed, including ROC curves and confusion matrices, it is read at the arm’s best k: the k with the highest test AUC, the smallest on a tie, and for random retrieval the highest mean across draws. For Qwen3-Embedding-8B, the best k was 295 for logistic-regression-weighted and 757 for plain cosine similarity under</w:t>
      </w:r>
      <w:r>
        <w:t xml:space="preserve"> </w:t>
      </w:r>
      <m:oMath>
        <m:r>
          <m:t>α</m:t>
        </m:r>
      </m:oMath>
      <w:r>
        <w:t xml:space="preserve"> </w:t>
      </w:r>
      <w:r>
        <w:t xml:space="preserve">= 1, and 32,720 for random retrieval. Every best k was selected on the test patients, so the values at it are optimistic. These analyses were restricted to embeddings; no mixed-data similarity metric was specified for FEATURE.</w:t>
      </w:r>
    </w:p>
    <w:bookmarkEnd w:id="30"/>
    <w:bookmarkStart w:id="31"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“None Recorded”</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31"/>
    <w:bookmarkStart w:id="32" w:name="m12-evaluation-coverage"/>
    <w:p>
      <w:pPr>
        <w:pStyle w:val="Heading1"/>
      </w:pPr>
      <w:r>
        <w:t xml:space="preserve">M12 Evaluation Coverage</w:t>
      </w:r>
    </w:p>
    <w:p>
      <w:pPr>
        <w:pStyle w:val="FirstParagraph"/>
      </w:pPr>
      <w:r>
        <w:t xml:space="preserve">Standard classifiers, encoder comparisons, and concept permutations used the full cohort and common test split. All 4 encoders received both similarity metrics, random retrieval, and the neighborhood-size sweep under the same rules, each weighted by its own embedded logistic regression (manuscript, Nearest-Neighbor Retrieval Across Encoders; manuscript Figure 4; section S6). ROC curves and confusion matrices at best k are reported for all 4 encoders (section S6). Paired contrasts, the precision–recall and calibration panels at best k (sections S2–S3), and the subgroup analyses describe Qwen3-Embedding-8B only.</w:t>
      </w:r>
    </w:p>
    <w:bookmarkEnd w:id="32"/>
    <w:bookmarkStart w:id="33" w:name="m13-performance-metrics-and-uncertainty"/>
    <w:p>
      <w:pPr>
        <w:pStyle w:val="Heading1"/>
      </w:pPr>
      <w:r>
        <w:t xml:space="preserve">M13 Performance Metrics and Uncertainty</w:t>
      </w:r>
    </w:p>
    <w:p>
      <w:pPr>
        <w:pStyle w:val="FirstParagraph"/>
      </w:pPr>
      <w:r>
        <w:t xml:space="preserve">Discrimination was summarized by ROC AUC and AUPRC. The overall calibration summaries fit a line to binned observed and predicted probabilities. These binned slopes and intercepts are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F1 score, and likelihood ratios were calculated at the test-set threshold maximizing Youden J. Their 95% CIs come from the same bootstrap resampling of test patients, with the threshold held fixed.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33"/>
    <w:bookmarkStart w:id="55" w:name="s1-embedding-dimensionality"/>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37" w:name="X1060d720c115f1ad4f94af0846463e30bf583bd"/>
    <w:p>
      <w:pPr>
        <w:pStyle w:val="Heading2"/>
      </w:pPr>
      <w:r>
        <w:t xml:space="preserve">S1.1 Sparsity and cumulative built-in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35" name="Picture"/>
            <a:graphic>
              <a:graphicData uri="http://schemas.openxmlformats.org/drawingml/2006/picture">
                <pic:pic>
                  <pic:nvPicPr>
                    <pic:cNvPr descr="../results/Qwen-Qwen3-Embedding-8B/google_medgemma-27b-text-it/feature_importance/feature_importance_cumulative_EMBEDDED.png" id="36"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37"/>
    <w:bookmarkStart w:id="41" w:name="s1.2-cumulative-univariate-correlation"/>
    <w:p>
      <w:pPr>
        <w:pStyle w:val="Heading2"/>
      </w:pPr>
      <w:r>
        <w:t xml:space="preserve">S1.2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39" name="Picture"/>
            <a:graphic>
              <a:graphicData uri="http://schemas.openxmlformats.org/drawingml/2006/picture">
                <pic:pic>
                  <pic:nvPicPr>
                    <pic:cNvPr descr="../results/Qwen-Qwen3-Embedding-8B/google_medgemma-27b-text-it/feature_importance/feature_correlation_cumulative_EMBEDDED.png" id="40" name="Picture"/>
                    <pic:cNvPicPr>
                      <a:picLocks noChangeArrowheads="1" noChangeAspect="1"/>
                    </pic:cNvPicPr>
                  </pic:nvPicPr>
                  <pic:blipFill>
                    <a:blip r:embed="rId3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41"/>
    <w:bookmarkStart w:id="54" w:name="s1.3-pca-k-discrimination-sweep"/>
    <w:p>
      <w:pPr>
        <w:pStyle w:val="Heading2"/>
      </w:pPr>
      <w:r>
        <w:t xml:space="preserve">S1.3 PCA-K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43" name="Picture"/>
            <a:graphic>
              <a:graphicData uri="http://schemas.openxmlformats.org/drawingml/2006/picture">
                <pic:pic>
                  <pic:nvPicPr>
                    <pic:cNvPr descr="../results/Qwen-Qwen3-Embedding-8B/google_medgemma-27b-text-it/feature_importance/feature_importance_pca_sweep_logistic_regression_EMBEDDED.png" id="44" name="Picture"/>
                    <pic:cNvPicPr>
                      <a:picLocks noChangeArrowheads="1" noChangeAspect="1"/>
                    </pic:cNvPicPr>
                  </pic:nvPicPr>
                  <pic:blipFill>
                    <a:blip r:embed="rId42"/>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46" name="Picture"/>
            <a:graphic>
              <a:graphicData uri="http://schemas.openxmlformats.org/drawingml/2006/picture">
                <pic:pic>
                  <pic:nvPicPr>
                    <pic:cNvPr descr="../results/Qwen-Qwen3-Embedding-8B/google_medgemma-27b-text-it/feature_importance/feature_importance_pca_sweep_random_forest_EMBEDDED.png" id="47" name="Picture"/>
                    <pic:cNvPicPr>
                      <a:picLocks noChangeArrowheads="1" noChangeAspect="1"/>
                    </pic:cNvPicPr>
                  </pic:nvPicPr>
                  <pic:blipFill>
                    <a:blip r:embed="rId45"/>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303520" cy="3182111"/>
            <wp:effectExtent b="0" l="0" r="0" t="0"/>
            <wp:docPr descr="" title="" id="49" name="Picture"/>
            <a:graphic>
              <a:graphicData uri="http://schemas.openxmlformats.org/drawingml/2006/picture">
                <pic:pic>
                  <pic:nvPicPr>
                    <pic:cNvPr descr="../results/Qwen-Qwen3-Embedding-8B/google_medgemma-27b-text-it/feature_importance/feature_importance_pca_sweep_gradient_boosting_EMBEDDED.png" id="50" name="Picture"/>
                    <pic:cNvPicPr>
                      <a:picLocks noChangeArrowheads="1" noChangeAspect="1"/>
                    </pic:cNvPicPr>
                  </pic:nvPicPr>
                  <pic:blipFill>
                    <a:blip r:embed="rId4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52" name="Picture"/>
            <a:graphic>
              <a:graphicData uri="http://schemas.openxmlformats.org/drawingml/2006/picture">
                <pic:pic>
                  <pic:nvPicPr>
                    <pic:cNvPr descr="../results/Qwen-Qwen3-Embedding-8B/google_medgemma-27b-text-it/feature_importance/feature_importance_pca_sweep_xgboost_EMBEDDED.png" id="53" name="Picture"/>
                    <pic:cNvPicPr>
                      <a:picLocks noChangeArrowheads="1" noChangeAspect="1"/>
                    </pic:cNvPicPr>
                  </pic:nvPicPr>
                  <pic:blipFill>
                    <a:blip r:embed="rId5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54"/>
    <w:bookmarkEnd w:id="55"/>
    <w:bookmarkStart w:id="71" w:name="s2-precision-recall-performance"/>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(95% CI 0.281–0.325) and 0.298 (95% CI 0.276–0.322), respectively. These values are also summarized in Table 2. At each retrieval arm’s best k, AUPRC was 0.272 (95% CI 0.251–0.294) for logistic-regression-weighted,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and of the 3 retrieval arms, each arm at its own test-selected best k (held-out test set), with bootstrap 95% CIs. No-skill baseline = 0.175 (the positive rate, 95% CI 0.167–0.183).</w:t>
      </w:r>
    </w:p>
    <w:tbl>
      <w:tblPr>
        <w:tblStyle w:val="Table"/>
        <w:tblW w:type="pct" w:w="5000"/>
        <w:tblLayout w:type="fixed"/>
        <w:tblLook w:firstRow="1" w:lastRow="0" w:firstColumn="0" w:lastColumn="0" w:noHBand="0" w:noVBand="0" w:val="0020"/>
      </w:tblPr>
      <w:tblGrid>
        <w:gridCol w:w="2354"/>
        <w:gridCol w:w="3210"/>
        <w:gridCol w:w="2354"/>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AUPRC (95% CI)</w:t>
            </w:r>
          </w:p>
        </w:tc>
      </w:tr>
      <w:tr>
        <w:tc>
          <w:tcPr/>
          <w:p>
            <w:pPr>
              <w:pStyle w:val="Compact"/>
            </w:pPr>
            <w:r>
              <w:t xml:space="preserve">EMBEDDED</w:t>
            </w:r>
          </w:p>
        </w:tc>
        <w:tc>
          <w:tcPr/>
          <w:p>
            <w:pPr>
              <w:pStyle w:val="Compact"/>
            </w:pPr>
            <w:r>
              <w:t xml:space="preserve">Logistic regression</w:t>
            </w:r>
          </w:p>
        </w:tc>
        <w:tc>
          <w:tcPr/>
          <w:p>
            <w:pPr>
              <w:pStyle w:val="Compact"/>
            </w:pPr>
            <w:r>
              <w:t xml:space="preserve">0.302 (0.281–0.325)</w:t>
            </w:r>
          </w:p>
        </w:tc>
      </w:tr>
      <w:tr>
        <w:tc>
          <w:tcPr/>
          <w:p>
            <w:pPr>
              <w:pStyle w:val="Compact"/>
            </w:pPr>
            <w:r>
              <w:t xml:space="preserve">EMBEDDED</w:t>
            </w:r>
          </w:p>
        </w:tc>
        <w:tc>
          <w:tcPr/>
          <w:p>
            <w:pPr>
              <w:pStyle w:val="Compact"/>
            </w:pPr>
            <w:r>
              <w:t xml:space="preserve">Random forest</w:t>
            </w:r>
          </w:p>
        </w:tc>
        <w:tc>
          <w:tcPr/>
          <w:p>
            <w:pPr>
              <w:pStyle w:val="Compact"/>
            </w:pPr>
            <w:r>
              <w:t xml:space="preserve">0.270 (0.250–0.291)</w:t>
            </w:r>
          </w:p>
        </w:tc>
      </w:tr>
      <w:tr>
        <w:tc>
          <w:tcPr/>
          <w:p>
            <w:pPr>
              <w:pStyle w:val="Compact"/>
            </w:pPr>
            <w:r>
              <w:t xml:space="preserve">EMBEDDED</w:t>
            </w:r>
          </w:p>
        </w:tc>
        <w:tc>
          <w:tcPr/>
          <w:p>
            <w:pPr>
              <w:pStyle w:val="Compact"/>
            </w:pPr>
            <w:r>
              <w:t xml:space="preserve">Gradient boosting</w:t>
            </w:r>
          </w:p>
        </w:tc>
        <w:tc>
          <w:tcPr/>
          <w:p>
            <w:pPr>
              <w:pStyle w:val="Compact"/>
            </w:pPr>
            <w:r>
              <w:t xml:space="preserve">0.276 (0.256–0.298)</w:t>
            </w:r>
          </w:p>
        </w:tc>
      </w:tr>
      <w:tr>
        <w:tc>
          <w:tcPr/>
          <w:p>
            <w:pPr>
              <w:pStyle w:val="Compact"/>
            </w:pPr>
            <w:r>
              <w:t xml:space="preserve">EMBEDDED</w:t>
            </w:r>
          </w:p>
        </w:tc>
        <w:tc>
          <w:tcPr/>
          <w:p>
            <w:pPr>
              <w:pStyle w:val="Compact"/>
            </w:pPr>
            <w:r>
              <w:t xml:space="preserve">XGBoost</w:t>
            </w:r>
          </w:p>
        </w:tc>
        <w:tc>
          <w:tcPr/>
          <w:p>
            <w:pPr>
              <w:pStyle w:val="Compact"/>
            </w:pPr>
            <w:r>
              <w:t xml:space="preserve">0.278 (0.257–0.300)</w:t>
            </w:r>
          </w:p>
        </w:tc>
      </w:tr>
      <w:tr>
        <w:tc>
          <w:tcPr/>
          <w:p>
            <w:pPr>
              <w:pStyle w:val="Compact"/>
            </w:pPr>
            <w:r>
              <w:t xml:space="preserve">FEATURE</w:t>
            </w:r>
          </w:p>
        </w:tc>
        <w:tc>
          <w:tcPr/>
          <w:p>
            <w:pPr>
              <w:pStyle w:val="Compact"/>
            </w:pPr>
            <w:r>
              <w:t xml:space="preserve">Logistic regression</w:t>
            </w:r>
          </w:p>
        </w:tc>
        <w:tc>
          <w:tcPr/>
          <w:p>
            <w:pPr>
              <w:pStyle w:val="Compact"/>
            </w:pPr>
            <w:r>
              <w:t xml:space="preserve">0.278 (0.256–0.300)</w:t>
            </w:r>
          </w:p>
        </w:tc>
      </w:tr>
      <w:tr>
        <w:tc>
          <w:tcPr/>
          <w:p>
            <w:pPr>
              <w:pStyle w:val="Compact"/>
            </w:pPr>
            <w:r>
              <w:t xml:space="preserve">FEATURE</w:t>
            </w:r>
          </w:p>
        </w:tc>
        <w:tc>
          <w:tcPr/>
          <w:p>
            <w:pPr>
              <w:pStyle w:val="Compact"/>
            </w:pPr>
            <w:r>
              <w:t xml:space="preserve">Random forest</w:t>
            </w:r>
          </w:p>
        </w:tc>
        <w:tc>
          <w:tcPr/>
          <w:p>
            <w:pPr>
              <w:pStyle w:val="Compact"/>
            </w:pPr>
            <w:r>
              <w:t xml:space="preserve">0.293 (0.271–0.315)</w:t>
            </w:r>
          </w:p>
        </w:tc>
      </w:tr>
      <w:tr>
        <w:tc>
          <w:tcPr/>
          <w:p>
            <w:pPr>
              <w:pStyle w:val="Compact"/>
            </w:pPr>
            <w:r>
              <w:t xml:space="preserve">FEATURE</w:t>
            </w:r>
          </w:p>
        </w:tc>
        <w:tc>
          <w:tcPr/>
          <w:p>
            <w:pPr>
              <w:pStyle w:val="Compact"/>
            </w:pPr>
            <w:r>
              <w:t xml:space="preserve">Gradient boosting</w:t>
            </w:r>
          </w:p>
        </w:tc>
        <w:tc>
          <w:tcPr/>
          <w:p>
            <w:pPr>
              <w:pStyle w:val="Compact"/>
            </w:pPr>
            <w:r>
              <w:t xml:space="preserve">0.288 (0.267–0.309)</w:t>
            </w:r>
          </w:p>
        </w:tc>
      </w:tr>
      <w:tr>
        <w:tc>
          <w:tcPr/>
          <w:p>
            <w:pPr>
              <w:pStyle w:val="Compact"/>
            </w:pPr>
            <w:r>
              <w:t xml:space="preserve">FEATURE</w:t>
            </w:r>
          </w:p>
        </w:tc>
        <w:tc>
          <w:tcPr/>
          <w:p>
            <w:pPr>
              <w:pStyle w:val="Compact"/>
            </w:pPr>
            <w:r>
              <w:t xml:space="preserve">XGBoost</w:t>
            </w:r>
          </w:p>
        </w:tc>
        <w:tc>
          <w:tcPr/>
          <w:p>
            <w:pPr>
              <w:pStyle w:val="Compact"/>
            </w:pPr>
            <w:r>
              <w:t xml:space="preserve">0.298 (0.276–0.322)</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0.272 (0.251–0.294)</w:t>
            </w:r>
          </w:p>
        </w:tc>
      </w:tr>
      <w:tr>
        <w:tc>
          <w:tcPr/>
          <w:p>
            <w:pPr>
              <w:pStyle w:val="Compact"/>
            </w:pPr>
            <w:r>
              <w:t xml:space="preserve">Retrieval</w:t>
            </w:r>
          </w:p>
        </w:tc>
        <w:tc>
          <w:tcPr/>
          <w:p>
            <w:pPr>
              <w:pStyle w:val="Compact"/>
            </w:pPr>
            <w:r>
              <w:t xml:space="preserve">Plain cosine, k = 757</w:t>
            </w:r>
          </w:p>
        </w:tc>
        <w:tc>
          <w:tcPr/>
          <w:p>
            <w:pPr>
              <w:pStyle w:val="Compact"/>
            </w:pPr>
            <w:r>
              <w:t xml:space="preserve">0.264 (0.244–0.286)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0.176 (0.165–0.188)</w:t>
            </w:r>
          </w:p>
        </w:tc>
      </w:tr>
    </w:tbl>
    <w:p>
      <w:pPr>
        <w:pStyle w:val="BodyText"/>
      </w:pPr>
      <w:r>
        <w:t xml:space="preserve">Table S2. Embedded logistic-regression AUPRC by encoder (held-out test set), with bootstrap 95% CIs. No-skill baseline = 0.175.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Encoder</w:t>
            </w:r>
          </w:p>
        </w:tc>
        <w:tc>
          <w:tcPr/>
          <w:p>
            <w:pPr>
              <w:pStyle w:val="Compact"/>
            </w:pPr>
            <w:r>
              <w:rPr>
                <w:b/>
                <w:bCs/>
              </w:rPr>
              <w:t xml:space="preserve">AUPRC (95% CI)</w:t>
            </w:r>
          </w:p>
        </w:tc>
      </w:tr>
      <w:tr>
        <w:tc>
          <w:tcPr/>
          <w:p>
            <w:pPr>
              <w:pStyle w:val="Compact"/>
            </w:pPr>
            <w:r>
              <w:t xml:space="preserve">bge-small-en-v1.5</w:t>
            </w:r>
          </w:p>
        </w:tc>
        <w:tc>
          <w:tcPr/>
          <w:p>
            <w:pPr>
              <w:pStyle w:val="Compact"/>
            </w:pPr>
            <w:r>
              <w:t xml:space="preserve">0.281 (0.260–0.303)</w:t>
            </w:r>
          </w:p>
        </w:tc>
      </w:tr>
      <w:tr>
        <w:tc>
          <w:tcPr/>
          <w:p>
            <w:pPr>
              <w:pStyle w:val="Compact"/>
            </w:pPr>
            <w:r>
              <w:t xml:space="preserve">bge-en-icl</w:t>
            </w:r>
          </w:p>
        </w:tc>
        <w:tc>
          <w:tcPr/>
          <w:p>
            <w:pPr>
              <w:pStyle w:val="Compact"/>
            </w:pPr>
            <w:r>
              <w:t xml:space="preserve">0.297 (0.277–0.320)</w:t>
            </w:r>
          </w:p>
        </w:tc>
      </w:tr>
      <w:tr>
        <w:tc>
          <w:tcPr/>
          <w:p>
            <w:pPr>
              <w:pStyle w:val="Compact"/>
            </w:pPr>
            <w:r>
              <w:t xml:space="preserve">Qwen3-Embedding-4B</w:t>
            </w:r>
          </w:p>
        </w:tc>
        <w:tc>
          <w:tcPr/>
          <w:p>
            <w:pPr>
              <w:pStyle w:val="Compact"/>
            </w:pPr>
            <w:r>
              <w:t xml:space="preserve">0.297 (0.274–0.319)</w:t>
            </w:r>
          </w:p>
        </w:tc>
      </w:tr>
      <w:tr>
        <w:tc>
          <w:tcPr/>
          <w:p>
            <w:pPr>
              <w:pStyle w:val="Compact"/>
            </w:pPr>
            <w:r>
              <w:t xml:space="preserve">Qwen3-Embedding-8B</w:t>
            </w:r>
          </w:p>
        </w:tc>
        <w:tc>
          <w:tcPr/>
          <w:p>
            <w:pPr>
              <w:pStyle w:val="Compact"/>
            </w:pPr>
            <w:r>
              <w:t xml:space="preserve">0.302 (0.281–0.325)</w:t>
            </w:r>
          </w:p>
        </w:tc>
      </w:tr>
    </w:tbl>
    <w:p>
      <w:pPr>
        <w:pStyle w:val="BodyText"/>
      </w:pPr>
      <w:r>
        <w:t xml:space="preserve">A Embedded logistic regression</w:t>
      </w:r>
    </w:p>
    <w:p>
      <w:pPr>
        <w:pStyle w:val="BodyText"/>
      </w:pPr>
      <w:r>
        <w:drawing>
          <wp:inline>
            <wp:extent cx="5303520" cy="2863900"/>
            <wp:effectExtent b="0" l="0" r="0" t="0"/>
            <wp:docPr descr="" title="" id="57" name="Picture"/>
            <a:graphic>
              <a:graphicData uri="http://schemas.openxmlformats.org/drawingml/2006/picture">
                <pic:pic>
                  <pic:nvPicPr>
                    <pic:cNvPr descr="../results/Qwen-Qwen3-Embedding-8B/google_medgemma-27b-text-it/pr_curves/pr_curve_logistic_regression_EMBEDDED.png" id="58" name="Picture"/>
                    <pic:cNvPicPr>
                      <a:picLocks noChangeArrowheads="1" noChangeAspect="1"/>
                    </pic:cNvPicPr>
                  </pic:nvPicPr>
                  <pic:blipFill>
                    <a:blip r:embed="rId5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60" name="Picture"/>
            <a:graphic>
              <a:graphicData uri="http://schemas.openxmlformats.org/drawingml/2006/picture">
                <pic:pic>
                  <pic:nvPicPr>
                    <pic:cNvPr descr="../results/Qwen-Qwen3-Embedding-8B/google_medgemma-27b-text-it/pr_curves/pr_curve_xgboost_FEATURE.png" id="61" name="Picture"/>
                    <pic:cNvPicPr>
                      <a:picLocks noChangeArrowheads="1" noChangeAspect="1"/>
                    </pic:cNvPicPr>
                  </pic:nvPicPr>
                  <pic:blipFill>
                    <a:blip r:embed="rId5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63" name="Picture"/>
            <a:graphic>
              <a:graphicData uri="http://schemas.openxmlformats.org/drawingml/2006/picture">
                <pic:pic>
                  <pic:nvPicPr>
                    <pic:cNvPr descr="../results/Qwen-Qwen3-Embedding-8B/google_medgemma-27b-text-it/neighbor_count_sweep/best_k_panels/pr_curve_NEAREST_IMPORTANCE_WEIGHTED_alpha1_k295.png" id="64" name="Picture"/>
                    <pic:cNvPicPr>
                      <a:picLocks noChangeArrowheads="1" noChangeAspect="1"/>
                    </pic:cNvPicPr>
                  </pic:nvPicPr>
                  <pic:blipFill>
                    <a:blip r:embed="rId6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66" name="Picture"/>
            <a:graphic>
              <a:graphicData uri="http://schemas.openxmlformats.org/drawingml/2006/picture">
                <pic:pic>
                  <pic:nvPicPr>
                    <pic:cNvPr descr="../results/Qwen-Qwen3-Embedding-8B/google_medgemma-27b-text-it/neighbor_count_sweep/best_k_panels/pr_curve_NEAREST_PLAIN_COSINE_alpha1_k757.png" id="67" name="Picture"/>
                    <pic:cNvPicPr>
                      <a:picLocks noChangeArrowheads="1" noChangeAspect="1"/>
                    </pic:cNvPicPr>
                  </pic:nvPicPr>
                  <pic:blipFill>
                    <a:blip r:embed="rId6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69" name="Picture"/>
            <a:graphic>
              <a:graphicData uri="http://schemas.openxmlformats.org/drawingml/2006/picture">
                <pic:pic>
                  <pic:nvPicPr>
                    <pic:cNvPr descr="../results/Qwen-Qwen3-Embedding-8B/google_medgemma-27b-text-it/neighbor_count_sweep/best_k_panels/pr_curve_RANDOM_UNIFORM_k32720.png" id="70" name="Picture"/>
                    <pic:cNvPicPr>
                      <a:picLocks noChangeArrowheads="1" noChangeAspect="1"/>
                    </pic:cNvPicPr>
                  </pic:nvPicPr>
                  <pic:blipFill>
                    <a:blip r:embed="rId6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Qwen3-Embedding-8B). (A) Embedded logistic regression; (B) feature-vector XGBoost; (C–E) the 3 retrieval arms, each at its own test-selected best k. E is the draw of 1,000 whose ROC AUC at that k is closest to their mean. Every panel’s legend prints average precision with its bootstrap 95% CI (in E, the CI of that one draw over test patients) and the no-skill reference, the positive rate, 0.175 (95% CI 0.167–0.183). Legend average precision differs from the table AUPRC by at most 0.001.</w:t>
      </w:r>
    </w:p>
    <w:bookmarkEnd w:id="71"/>
    <w:bookmarkStart w:id="87" w:name="s3-calibration"/>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Table S4 reports binned calibration slopes and intercepts,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BodyText"/>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values are descriptive and are not individual-level logistic calibration parameters. See section S9 for the latter. The classifier rows fit a line through 10 equal-width bins, several of which hold few patients, so their intervals are wide. The retrieval rows use 10 bins of equal patient count, matching Figure S5. For random retrieval every predicted risk lies between 0.173 and 0.176, so its slope and intercept are not estimable.</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1.13 (0.98–1.28)</w:t>
            </w:r>
          </w:p>
        </w:tc>
        <w:tc>
          <w:tcPr/>
          <w:p>
            <w:pPr>
              <w:pStyle w:val="Compact"/>
            </w:pPr>
            <w:r>
              <w:t xml:space="preserve">−0.02 (−0.04 to +0.01)</w:t>
            </w:r>
          </w:p>
        </w:tc>
      </w:tr>
      <w:tr>
        <w:tc>
          <w:tcPr/>
          <w:p>
            <w:pPr>
              <w:pStyle w:val="Compact"/>
            </w:pPr>
            <w:r>
              <w:t xml:space="preserve">Retrieval</w:t>
            </w:r>
          </w:p>
        </w:tc>
        <w:tc>
          <w:tcPr/>
          <w:p>
            <w:pPr>
              <w:pStyle w:val="Compact"/>
            </w:pPr>
            <w:r>
              <w:t xml:space="preserve">Plain cosine, k = 757</w:t>
            </w:r>
          </w:p>
        </w:tc>
        <w:tc>
          <w:tcPr/>
          <w:p>
            <w:pPr>
              <w:pStyle w:val="Compact"/>
            </w:pPr>
            <w:r>
              <w:t xml:space="preserve">1.43 (1.23–1.63)</w:t>
            </w:r>
          </w:p>
        </w:tc>
        <w:tc>
          <w:tcPr/>
          <w:p>
            <w:pPr>
              <w:pStyle w:val="Compact"/>
            </w:pPr>
            <w:r>
              <w:t xml:space="preserve">−0.07 (−0.10 to −0.03)</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 (predicted risk spans 0.173–0.176)</w:t>
            </w:r>
          </w:p>
        </w:tc>
        <w:tc>
          <w:tcPr/>
          <w:p>
            <w:pPr>
              <w:pStyle w:val="Compac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73" name="Picture"/>
            <a:graphic>
              <a:graphicData uri="http://schemas.openxmlformats.org/drawingml/2006/picture">
                <pic:pic>
                  <pic:nvPicPr>
                    <pic:cNvPr descr="../results/Qwen-Qwen3-Embedding-8B/google_medgemma-27b-text-it/calibration_curves/calibration_curve_logistic_regression_EMBEDDED.png" id="74" name="Picture"/>
                    <pic:cNvPicPr>
                      <a:picLocks noChangeArrowheads="1" noChangeAspect="1"/>
                    </pic:cNvPicPr>
                  </pic:nvPicPr>
                  <pic:blipFill>
                    <a:blip r:embed="rId7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76" name="Picture"/>
            <a:graphic>
              <a:graphicData uri="http://schemas.openxmlformats.org/drawingml/2006/picture">
                <pic:pic>
                  <pic:nvPicPr>
                    <pic:cNvPr descr="../results/Qwen-Qwen3-Embedding-8B/google_medgemma-27b-text-it/calibration_curves/calibration_curve_xgboost_FEATURE.png" id="77" name="Picture"/>
                    <pic:cNvPicPr>
                      <a:picLocks noChangeArrowheads="1" noChangeAspect="1"/>
                    </pic:cNvPicPr>
                  </pic:nvPicPr>
                  <pic:blipFill>
                    <a:blip r:embed="rId7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79" name="Picture"/>
            <a:graphic>
              <a:graphicData uri="http://schemas.openxmlformats.org/drawingml/2006/picture">
                <pic:pic>
                  <pic:nvPicPr>
                    <pic:cNvPr descr="../results/Qwen-Qwen3-Embedding-8B/google_medgemma-27b-text-it/neighbor_count_sweep/best_k_panels/calibration_curve_NEAREST_IMPORTANCE_WEIGHTED_alpha1_k295.png" id="80" name="Picture"/>
                    <pic:cNvPicPr>
                      <a:picLocks noChangeArrowheads="1" noChangeAspect="1"/>
                    </pic:cNvPicPr>
                  </pic:nvPicPr>
                  <pic:blipFill>
                    <a:blip r:embed="rId7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82" name="Picture"/>
            <a:graphic>
              <a:graphicData uri="http://schemas.openxmlformats.org/drawingml/2006/picture">
                <pic:pic>
                  <pic:nvPicPr>
                    <pic:cNvPr descr="../results/Qwen-Qwen3-Embedding-8B/google_medgemma-27b-text-it/neighbor_count_sweep/best_k_panels/calibration_curve_NEAREST_PLAIN_COSINE_alpha1_k757.png" id="83" name="Picture"/>
                    <pic:cNvPicPr>
                      <a:picLocks noChangeArrowheads="1" noChangeAspect="1"/>
                    </pic:cNvPicPr>
                  </pic:nvPicPr>
                  <pic:blipFill>
                    <a:blip r:embed="rId8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85" name="Picture"/>
            <a:graphic>
              <a:graphicData uri="http://schemas.openxmlformats.org/drawingml/2006/picture">
                <pic:pic>
                  <pic:nvPicPr>
                    <pic:cNvPr descr="../results/Qwen-Qwen3-Embedding-8B/google_medgemma-27b-text-it/neighbor_count_sweep/best_k_panels/calibration_curve_RANDOM_UNIFORM_k32720.png" id="86" name="Picture"/>
                    <pic:cNvPicPr>
                      <a:picLocks noChangeArrowheads="1" noChangeAspect="1"/>
                    </pic:cNvPicPr>
                  </pic:nvPicPr>
                  <pic:blipFill>
                    <a:blip r:embed="rId8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E is the same random draw as Figure S4E, the one of 1,000 whose ROC AUC at that k is closest to their mean.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87"/>
    <w:bookmarkStart w:id="106" w:name="s4-encoder-similarity-geometry"/>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2863900"/>
            <wp:effectExtent b="0" l="0" r="0" t="0"/>
            <wp:docPr descr="" title="" id="89" name="Picture"/>
            <a:graphic>
              <a:graphicData uri="http://schemas.openxmlformats.org/drawingml/2006/picture">
                <pic:pic>
                  <pic:nvPicPr>
                    <pic:cNvPr descr="../results/bge-small-en-v1.5/google_medgemma-27b-text-it/cosine_score_random_vs_neighbor.png" id="90" name="Picture"/>
                    <pic:cNvPicPr>
                      <a:picLocks noChangeArrowheads="1" noChangeAspect="1"/>
                    </pic:cNvPicPr>
                  </pic:nvPicPr>
                  <pic:blipFill>
                    <a:blip r:embed="rId8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2863900"/>
            <wp:effectExtent b="0" l="0" r="0" t="0"/>
            <wp:docPr descr="" title="" id="92" name="Picture"/>
            <a:graphic>
              <a:graphicData uri="http://schemas.openxmlformats.org/drawingml/2006/picture">
                <pic:pic>
                  <pic:nvPicPr>
                    <pic:cNvPr descr="../results/bge-en-icl/google_medgemma-27b-text-it/cosine_score_random_vs_neighbor.png" id="93" name="Picture"/>
                    <pic:cNvPicPr>
                      <a:picLocks noChangeArrowheads="1" noChangeAspect="1"/>
                    </pic:cNvPicPr>
                  </pic:nvPicPr>
                  <pic:blipFill>
                    <a:blip r:embed="rId9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Qwen3-Embedding-4B</w:t>
      </w:r>
    </w:p>
    <w:p>
      <w:pPr>
        <w:pStyle w:val="BodyText"/>
      </w:pPr>
      <w:r>
        <w:drawing>
          <wp:inline>
            <wp:extent cx="5303520" cy="2863900"/>
            <wp:effectExtent b="0" l="0" r="0" t="0"/>
            <wp:docPr descr="" title="" id="95" name="Picture"/>
            <a:graphic>
              <a:graphicData uri="http://schemas.openxmlformats.org/drawingml/2006/picture">
                <pic:pic>
                  <pic:nvPicPr>
                    <pic:cNvPr descr="../results/Qwen-Qwen3-Embedding-4B/google_medgemma-27b-text-it/cosine_score_random_vs_neighbor.png" id="96" name="Picture"/>
                    <pic:cNvPicPr>
                      <a:picLocks noChangeArrowheads="1" noChangeAspect="1"/>
                    </pic:cNvPicPr>
                  </pic:nvPicPr>
                  <pic:blipFill>
                    <a:blip r:embed="rId9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2863900"/>
            <wp:effectExtent b="0" l="0" r="0" t="0"/>
            <wp:docPr descr="" title="" id="98" name="Picture"/>
            <a:graphic>
              <a:graphicData uri="http://schemas.openxmlformats.org/drawingml/2006/picture">
                <pic:pic>
                  <pic:nvPicPr>
                    <pic:cNvPr descr="../results/Qwen-Qwen3-Embedding-8B/google_medgemma-27b-text-it/cosine_score_random_vs_neighbor.png" id="99" name="Picture"/>
                    <pic:cNvPicPr>
                      <a:picLocks noChangeArrowheads="1" noChangeAspect="1"/>
                    </pic:cNvPicPr>
                  </pic:nvPicPr>
                  <pic:blipFill>
                    <a:blip r:embed="rId9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“episode”</w:t>
      </w:r>
      <w:r>
        <w:t xml:space="preserve"> </w:t>
      </w:r>
      <w:r>
        <w:t xml:space="preserve">(Table S5).</w:t>
      </w:r>
    </w:p>
    <w:p>
      <w:pPr>
        <w:pStyle w:val="BodyText"/>
      </w:pPr>
      <w:r>
        <w:t xml:space="preserve">The token occurs in</w:t>
      </w:r>
      <w:r>
        <w:t xml:space="preserve"> </w:t>
      </w:r>
      <w:r>
        <w:t xml:space="preserve">“Single Episode”</w:t>
      </w:r>
      <w:r>
        <w:t xml:space="preserve"> </w:t>
      </w:r>
      <w:r>
        <w:t xml:space="preserve">but not</w:t>
      </w:r>
      <w:r>
        <w:t xml:space="preserve"> </w:t>
      </w:r>
      <w:r>
        <w:t xml:space="preserve">“Recurrent”</w:t>
      </w:r>
      <w:r>
        <w:t xml:space="preserve"> </w:t>
      </w:r>
      <w:r>
        <w:t xml:space="preserve">or</w:t>
      </w:r>
      <w:r>
        <w:t xml:space="preserve"> </w:t>
      </w:r>
      <w:r>
        <w:t xml:space="preserve">“Dysthymia.”</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“episode”</w:t>
      </w:r>
      <w:r>
        <w:t xml:space="preserve">; the full cohort contained 28,206 patients coded single episode.</w:t>
      </w:r>
    </w:p>
    <w:p>
      <w:pPr>
        <w:pStyle w:val="BodyText"/>
      </w:pPr>
      <w:r>
        <w:t xml:space="preserve">Cluster A (n=14,438) largely lacked</w:t>
      </w:r>
      <w:r>
        <w:t xml:space="preserve"> </w:t>
      </w:r>
      <w:r>
        <w:t xml:space="preserve">“episode”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“Single”</w:t>
      </w:r>
      <w:r>
        <w:t xml:space="preserve"> </w:t>
      </w:r>
      <w:r>
        <w:t xml:space="preserve">may also denote marital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Token</w:t>
            </w:r>
          </w:p>
        </w:tc>
        <w:tc>
          <w:tcPr/>
          <w:p>
            <w:pPr>
              <w:pStyle w:val="Compact"/>
              <w:jc w:val="left"/>
            </w:pPr>
            <w:r>
              <w:rPr>
                <w:b/>
                <w:bCs/>
              </w:rPr>
              <w:t xml:space="preserve">P(present | cluster A)</w:t>
            </w:r>
          </w:p>
        </w:tc>
        <w:tc>
          <w:tcPr/>
          <w:p>
            <w:pPr>
              <w:pStyle w:val="Compact"/>
              <w:jc w:val="left"/>
            </w:pPr>
            <w:r>
              <w:rPr>
                <w:b/>
                <w:bCs/>
              </w:rPr>
              <w:t xml:space="preserve">P(present | cluster B)</w:t>
            </w:r>
          </w:p>
        </w:tc>
        <w:tc>
          <w:tcPr/>
          <w:p>
            <w:pPr>
              <w:pStyle w:val="Compact"/>
              <w:jc w:val="left"/>
            </w:pPr>
            <w:r>
              <w:rPr>
                <w:b/>
                <w:bCs/>
              </w:rPr>
              <w:t xml:space="preserve">|Δ|</w:t>
            </w:r>
          </w:p>
        </w:tc>
      </w:tr>
      <w:tr>
        <w:tc>
          <w:tcPr/>
          <w:p>
            <w:pPr>
              <w:pStyle w:val="Compact"/>
              <w:jc w:val="left"/>
            </w:pPr>
            <w:r>
              <w:t xml:space="preserve">episode</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recurrent</w:t>
            </w:r>
          </w:p>
        </w:tc>
        <w:tc>
          <w:tcPr/>
          <w:p>
            <w:pPr>
              <w:pStyle w:val="Compact"/>
              <w:jc w:val="left"/>
            </w:pPr>
            <w:r>
              <w:t xml:space="preserve">0.78</w:t>
            </w:r>
          </w:p>
        </w:tc>
        <w:tc>
          <w:tcPr/>
          <w:p>
            <w:pPr>
              <w:pStyle w:val="Compact"/>
              <w:jc w:val="left"/>
            </w:pPr>
            <w:r>
              <w:t xml:space="preserve">0.00</w:t>
            </w:r>
          </w:p>
        </w:tc>
        <w:tc>
          <w:tcPr/>
          <w:p>
            <w:pPr>
              <w:pStyle w:val="Compact"/>
              <w:jc w:val="left"/>
            </w:pPr>
            <w:r>
              <w:t xml:space="preserve">0.78</w:t>
            </w:r>
          </w:p>
        </w:tc>
      </w:tr>
      <w:tr>
        <w:tc>
          <w:tcPr/>
          <w:p>
            <w:pPr>
              <w:pStyle w:val="Compact"/>
              <w:jc w:val="left"/>
            </w:pPr>
            <w:r>
              <w:t xml:space="preserve">single</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0.70</w:t>
            </w:r>
          </w:p>
        </w:tc>
      </w:tr>
      <w:tr>
        <w:tc>
          <w:tcPr/>
          <w:p>
            <w:pPr>
              <w:pStyle w:val="Compact"/>
              <w:jc w:val="left"/>
            </w:pPr>
            <w:r>
              <w:t xml:space="preserve">unspecified</w:t>
            </w:r>
          </w:p>
        </w:tc>
        <w:tc>
          <w:tcPr/>
          <w:p>
            <w:pPr>
              <w:pStyle w:val="Compact"/>
              <w:jc w:val="left"/>
            </w:pPr>
            <w:r>
              <w:t xml:space="preserve">0.39</w:t>
            </w:r>
          </w:p>
        </w:tc>
        <w:tc>
          <w:tcPr/>
          <w:p>
            <w:pPr>
              <w:pStyle w:val="Compact"/>
              <w:jc w:val="left"/>
            </w:pPr>
            <w:r>
              <w:t xml:space="preserve">0.83</w:t>
            </w:r>
          </w:p>
        </w:tc>
        <w:tc>
          <w:tcPr/>
          <w:p>
            <w:pPr>
              <w:pStyle w:val="Compact"/>
              <w:jc w:val="left"/>
            </w:pPr>
            <w:r>
              <w:t xml:space="preserve">0.45</w:t>
            </w:r>
          </w:p>
        </w:tc>
      </w:tr>
      <w:tr>
        <w:tc>
          <w:tcPr/>
          <w:p>
            <w:pPr>
              <w:pStyle w:val="Compact"/>
              <w:jc w:val="left"/>
            </w:pPr>
            <w:r>
              <w:t xml:space="preserve">moderate</w:t>
            </w:r>
          </w:p>
        </w:tc>
        <w:tc>
          <w:tcPr/>
          <w:p>
            <w:pPr>
              <w:pStyle w:val="Compact"/>
              <w:jc w:val="left"/>
            </w:pPr>
            <w:r>
              <w:t xml:space="preserve">0.32</w:t>
            </w:r>
          </w:p>
        </w:tc>
        <w:tc>
          <w:tcPr/>
          <w:p>
            <w:pPr>
              <w:pStyle w:val="Compact"/>
              <w:jc w:val="left"/>
            </w:pPr>
            <w:r>
              <w:t xml:space="preserve">0.09</w:t>
            </w:r>
          </w:p>
        </w:tc>
        <w:tc>
          <w:tcPr/>
          <w:p>
            <w:pPr>
              <w:pStyle w:val="Compact"/>
              <w:jc w:val="left"/>
            </w:pPr>
            <w:r>
              <w:t xml:space="preserve">0.23</w:t>
            </w:r>
          </w:p>
        </w:tc>
      </w:tr>
    </w:tbl>
    <w:p>
      <w:pPr>
        <w:pStyle w:val="BodyText"/>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“episode”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“recurrent”</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“Missing”</w:t>
      </w:r>
      <w:r>
        <w:t xml:space="preserve"> </w:t>
      </w:r>
      <w:r>
        <w:t xml:space="preserve">token. Nested cluster results are summarized in Table S6.</w:t>
      </w:r>
    </w:p>
    <w:p>
      <w:pPr>
        <w:pStyle w:val="BodyText"/>
      </w:pPr>
      <w:r>
        <w:t xml:space="preserve">A All patients</w:t>
      </w:r>
    </w:p>
    <w:p>
      <w:pPr>
        <w:pStyle w:val="BodyText"/>
      </w:pPr>
      <w:r>
        <w:drawing>
          <wp:inline>
            <wp:extent cx="5303520" cy="2846563"/>
            <wp:effectExtent b="0" l="0" r="0" t="0"/>
            <wp:docPr descr="" title="" id="101" name="Picture"/>
            <a:graphic>
              <a:graphicData uri="http://schemas.openxmlformats.org/drawingml/2006/picture">
                <pic:pic>
                  <pic:nvPicPr>
                    <pic:cNvPr descr="../results/notebook_figures/bge_small_recurrence_bimodality.png" id="102" name="Picture"/>
                    <pic:cNvPicPr>
                      <a:picLocks noChangeArrowheads="1" noChangeAspect="1"/>
                    </pic:cNvPicPr>
                  </pic:nvPicPr>
                  <pic:blipFill>
                    <a:blip r:embed="rId100"/>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2846563"/>
            <wp:effectExtent b="0" l="0" r="0" t="0"/>
            <wp:docPr descr="" title="" id="104" name="Picture"/>
            <a:graphic>
              <a:graphicData uri="http://schemas.openxmlformats.org/drawingml/2006/picture">
                <pic:pic>
                  <pic:nvPicPr>
                    <pic:cNvPr descr="../results/notebook_figures/bge_small_cluster0_subsplit.png" id="105" name="Picture"/>
                    <pic:cNvPicPr>
                      <a:picLocks noChangeArrowheads="1" noChangeAspect="1"/>
                    </pic:cNvPicPr>
                  </pic:nvPicPr>
                  <pic:blipFill>
                    <a:blip r:embed="rId103"/>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“episode”</w:t>
      </w:r>
      <w:r>
        <w:t xml:space="preserve"> </w:t>
      </w:r>
      <w:r>
        <w:t xml:space="preserve">across the cohort (A) and on</w:t>
      </w:r>
      <w:r>
        <w:t xml:space="preserve"> </w:t>
      </w:r>
      <w:r>
        <w:t xml:space="preserve">“recurrent”</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“recurrent”</w:t>
      </w:r>
      <w:r>
        <w:t xml:space="preserve"> </w:t>
      </w:r>
      <w:r>
        <w:t xml:space="preserve">in 98% of narratives, whereas the smaller subgroup (n=3,013) contained</w:t>
      </w:r>
      <w:r>
        <w:t xml:space="preserve"> </w:t>
      </w:r>
      <w:r>
        <w:t xml:space="preserve">“unspecified”</w:t>
      </w:r>
      <w:r>
        <w:t xml:space="preserve"> </w:t>
      </w:r>
      <w:r>
        <w:t xml:space="preserve">in all narratives. Cluster B had weaker separation (silhouette 0.21);</w:t>
      </w:r>
      <w:r>
        <w:t xml:space="preserve"> </w:t>
      </w:r>
      <w:r>
        <w:t xml:space="preserve">“Missing”</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Parent cluster (n)</w:t>
            </w:r>
          </w:p>
        </w:tc>
        <w:tc>
          <w:tcPr/>
          <w:p>
            <w:pPr>
              <w:pStyle w:val="Compact"/>
              <w:jc w:val="left"/>
            </w:pPr>
            <w:r>
              <w:rPr>
                <w:b/>
                <w:bCs/>
              </w:rPr>
              <w:t xml:space="preserve">Splits into (n / n)</w:t>
            </w:r>
          </w:p>
        </w:tc>
        <w:tc>
          <w:tcPr/>
          <w:p>
            <w:pPr>
              <w:pStyle w:val="Compact"/>
              <w:jc w:val="left"/>
            </w:pPr>
            <w:r>
              <w:rPr>
                <w:b/>
                <w:bCs/>
              </w:rPr>
              <w:t xml:space="preserve">Driving token</w:t>
            </w:r>
          </w:p>
        </w:tc>
        <w:tc>
          <w:tcPr/>
          <w:p>
            <w:pPr>
              <w:pStyle w:val="Compact"/>
              <w:jc w:val="left"/>
            </w:pPr>
            <w:r>
              <w:rPr>
                <w:b/>
                <w:bCs/>
              </w:rPr>
              <w:t xml:space="preserve">Token present, sub 1 / sub 2</w:t>
            </w:r>
          </w:p>
        </w:tc>
        <w:tc>
          <w:tcPr/>
          <w:p>
            <w:pPr>
              <w:pStyle w:val="Compact"/>
              <w:jc w:val="left"/>
            </w:pPr>
            <w:r>
              <w:rPr>
                <w:b/>
                <w:bCs/>
              </w:rPr>
              <w:t xml:space="preserve">Split silhouette (top level = 0.48)</w:t>
            </w:r>
          </w:p>
        </w:tc>
        <w:tc>
          <w:tcPr/>
          <w:p>
            <w:pPr>
              <w:pStyle w:val="Compact"/>
              <w:jc w:val="left"/>
            </w:pPr>
            <w:r>
              <w:rPr>
                <w:b/>
                <w:bCs/>
              </w:rPr>
              <w:t xml:space="preserve">Separation</w:t>
            </w:r>
          </w:p>
        </w:tc>
      </w:tr>
      <w:tr>
        <w:tc>
          <w:tcPr/>
          <w:p>
            <w:pPr>
              <w:pStyle w:val="Compact"/>
              <w:jc w:val="left"/>
            </w:pPr>
            <w:r>
              <w:t xml:space="preserve">A: no</w:t>
            </w:r>
            <w:r>
              <w:t xml:space="preserve"> </w:t>
            </w:r>
            <w:r>
              <w:t xml:space="preserve">“episode”</w:t>
            </w:r>
            <w:r>
              <w:t xml:space="preserve"> </w:t>
            </w:r>
            <w:r>
              <w:t xml:space="preserve">token (14,438)</w:t>
            </w:r>
          </w:p>
        </w:tc>
        <w:tc>
          <w:tcPr/>
          <w:p>
            <w:pPr>
              <w:pStyle w:val="Compact"/>
              <w:jc w:val="left"/>
            </w:pPr>
            <w:r>
              <w:t xml:space="preserve">recurrent + severity (11,425) / unspecified (3,013)</w:t>
            </w:r>
          </w:p>
        </w:tc>
        <w:tc>
          <w:tcPr/>
          <w:p>
            <w:pPr>
              <w:pStyle w:val="Compact"/>
              <w:jc w:val="left"/>
            </w:pPr>
            <w:r>
              <w:t xml:space="preserve">recurrent</w:t>
            </w:r>
          </w:p>
        </w:tc>
        <w:tc>
          <w:tcPr/>
          <w:p>
            <w:pPr>
              <w:pStyle w:val="Compact"/>
              <w:jc w:val="left"/>
            </w:pPr>
            <w:r>
              <w:t xml:space="preserve">0.98 / 0.00</w:t>
            </w:r>
          </w:p>
        </w:tc>
        <w:tc>
          <w:tcPr/>
          <w:p>
            <w:pPr>
              <w:pStyle w:val="Compact"/>
              <w:jc w:val="left"/>
            </w:pPr>
            <w:r>
              <w:t xml:space="preserve">0.69</w:t>
            </w:r>
          </w:p>
        </w:tc>
        <w:tc>
          <w:tcPr/>
          <w:p>
            <w:pPr>
              <w:pStyle w:val="Compact"/>
              <w:jc w:val="left"/>
            </w:pPr>
            <w:r>
              <w:t xml:space="preserve">Stronger</w:t>
            </w:r>
          </w:p>
        </w:tc>
      </w:tr>
      <w:tr>
        <w:tc>
          <w:tcPr/>
          <w:p>
            <w:pPr>
              <w:pStyle w:val="Compact"/>
              <w:jc w:val="left"/>
            </w:pPr>
            <w:r>
              <w:t xml:space="preserve">B: single-episode (28,141)</w:t>
            </w:r>
          </w:p>
        </w:tc>
        <w:tc>
          <w:tcPr/>
          <w:p>
            <w:pPr>
              <w:pStyle w:val="Compact"/>
              <w:jc w:val="left"/>
            </w:pPr>
            <w:r>
              <w:t xml:space="preserve">sparse record (6,594) / populated record (21,547)</w:t>
            </w:r>
          </w:p>
        </w:tc>
        <w:tc>
          <w:tcPr/>
          <w:p>
            <w:pPr>
              <w:pStyle w:val="Compact"/>
              <w:jc w:val="left"/>
            </w:pPr>
            <w:r>
              <w:t xml:space="preserve">missing</w:t>
            </w:r>
          </w:p>
        </w:tc>
        <w:tc>
          <w:tcPr/>
          <w:p>
            <w:pPr>
              <w:pStyle w:val="Compact"/>
              <w:jc w:val="left"/>
            </w:pPr>
            <w:r>
              <w:t xml:space="preserve">0.88 / 0.02</w:t>
            </w:r>
          </w:p>
        </w:tc>
        <w:tc>
          <w:tcPr/>
          <w:p>
            <w:pPr>
              <w:pStyle w:val="Compact"/>
              <w:jc w:val="left"/>
            </w:pPr>
            <w:r>
              <w:t xml:space="preserve">0.21</w:t>
            </w:r>
          </w:p>
        </w:tc>
        <w:tc>
          <w:tcPr/>
          <w:p>
            <w:pPr>
              <w:pStyle w:val="Compact"/>
              <w:jc w:val="left"/>
            </w:pPr>
            <w:r>
              <w:t xml:space="preserve">Weaker</w:t>
            </w:r>
          </w:p>
        </w:tc>
      </w:tr>
    </w:tbl>
    <w:p>
      <w:pPr>
        <w:pStyle w:val="BodyText"/>
      </w:pPr>
      <w:r>
        <w:t xml:space="preserve">These findings show sensitivity of the smallest encoder’s geometry to diagnostic wording and missing-value tokens. They may help explain its retrieval behavior, but do not establish why its discrimination was lower (section S12.3). Primary analyses used Qwen3-Embedding-8B.</w:t>
      </w:r>
    </w:p>
    <w:bookmarkEnd w:id="106"/>
    <w:bookmarkStart w:id="107" w:name="s5-example-patient-narratives"/>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“anchor”</w:t>
      </w:r>
      <w:r>
        <w:t xml:space="preserve"> </w:t>
      </w:r>
      <w:r>
        <w:t xml:space="preserve">for the index and</w:t>
      </w:r>
      <w:r>
        <w:t xml:space="preserve"> </w:t>
      </w:r>
      <w:r>
        <w:t xml:space="preserve">“Baseline window”</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107"/>
    <w:bookmarkStart w:id="168" w:name="s6-neighbor-prediction"/>
    <w:p>
      <w:pPr>
        <w:pStyle w:val="Heading1"/>
      </w:pPr>
      <w:r>
        <w:t xml:space="preserve">S6 Neighbor Prediction</w:t>
      </w:r>
    </w:p>
    <w:p>
      <w:pPr>
        <w:pStyle w:val="FirstParagraph"/>
      </w:pPr>
      <w:r>
        <w:t xml:space="preserve">Retrieval over the embedding carried outcome information but did not reach the trained classifiers at any k. Random retrieval stayed at chance at every k: its band across draws covered 0.5 at every k from 1 to 34,063. Its best k, 32,720, reached 0.500 (2.5th–97.5th percentile across draws 0.484–0.515), and that k is noise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4D).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Qwen3-Embedding-8B by neighbor selection,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w:t>
      </w:r>
    </w:p>
    <w:tbl>
      <w:tblPr>
        <w:tblStyle w:val="Table"/>
        <w:tblW w:type="pct" w:w="5000"/>
        <w:tblLayout w:type="fixed"/>
        <w:tblLook w:firstRow="1" w:lastRow="0" w:firstColumn="0" w:lastColumn="0" w:noHBand="0" w:noVBand="0" w:val="0020"/>
      </w:tblPr>
      <w:tblGrid>
        <w:gridCol w:w="1131"/>
        <w:gridCol w:w="2262"/>
        <w:gridCol w:w="2036"/>
        <w:gridCol w:w="2489"/>
      </w:tblGrid>
      <w:tr>
        <w:trPr>
          <w:tblHeader w:val="on"/>
        </w:trPr>
        <w:tc>
          <w:tcPr/>
          <w:p>
            <w:pPr>
              <w:pStyle w:val="Compact"/>
            </w:pPr>
            <w:r>
              <w:rPr>
                <w:b/>
                <w:bCs/>
              </w:rPr>
              <w:t xml:space="preserve">Retrieval</w:t>
            </w:r>
          </w:p>
        </w:tc>
        <w:tc>
          <w:tcPr/>
          <w:p>
            <w:pPr>
              <w:pStyle w:val="Compact"/>
            </w:pPr>
            <w:r>
              <w:rPr>
                <w:b/>
                <w:bCs/>
              </w:rPr>
              <w:t xml:space="preserve">Similarity</w:t>
            </w:r>
          </w:p>
        </w:tc>
        <w:tc>
          <w:tcPr/>
          <w:p>
            <w:pPr>
              <w:pStyle w:val="Compact"/>
            </w:pPr>
            <w:r>
              <w:rPr>
                <w:b/>
                <w:bCs/>
              </w:rPr>
              <w:t xml:space="preserve">Neighbors (k)</w:t>
            </w:r>
          </w:p>
        </w:tc>
        <w:tc>
          <w:tcPr/>
          <w:p>
            <w:pPr>
              <w:pStyle w:val="Compact"/>
            </w:pPr>
            <w:r>
              <w:rPr>
                <w:b/>
                <w:bCs/>
              </w:rPr>
              <w:t xml:space="preserve">ROC AUC (95% CI)</w:t>
            </w:r>
          </w:p>
        </w:tc>
      </w:tr>
      <w:tr>
        <w:tc>
          <w:tcPr/>
          <w:p>
            <w:pPr>
              <w:pStyle w:val="Compact"/>
            </w:pPr>
            <w:r>
              <w:t xml:space="preserve">Nearest</w:t>
            </w:r>
          </w:p>
        </w:tc>
        <w:tc>
          <w:tcPr/>
          <w:p>
            <w:pPr>
              <w:pStyle w:val="Compact"/>
            </w:pPr>
            <w:r>
              <w:t xml:space="preserve">Plain cosine</w:t>
            </w:r>
          </w:p>
        </w:tc>
        <w:tc>
          <w:tcPr/>
          <w:p>
            <w:pPr>
              <w:pStyle w:val="Compact"/>
            </w:pPr>
            <w:r>
              <w:t xml:space="preserve">best, 757</w:t>
            </w:r>
          </w:p>
        </w:tc>
        <w:tc>
          <w:tcPr/>
          <w:p>
            <w:pPr>
              <w:pStyle w:val="Compact"/>
            </w:pPr>
            <w:r>
              <w:t xml:space="preserve">0.618 (0.602–0.634)</w:t>
            </w:r>
          </w:p>
        </w:tc>
      </w:tr>
      <w:tr>
        <w:tc>
          <w:tcPr/>
          <w:p>
            <w:pPr>
              <w:pStyle w:val="Compact"/>
            </w:pPr>
            <w:r>
              <w:t xml:space="preserve">Nearest</w:t>
            </w:r>
          </w:p>
        </w:tc>
        <w:tc>
          <w:tcPr/>
          <w:p>
            <w:pPr>
              <w:pStyle w:val="Compact"/>
            </w:pPr>
            <w:r>
              <w:t xml:space="preserve">Logistic-regression-weighted</w:t>
            </w:r>
          </w:p>
        </w:tc>
        <w:tc>
          <w:tcPr/>
          <w:p>
            <w:pPr>
              <w:pStyle w:val="Compact"/>
            </w:pPr>
            <w:r>
              <w:t xml:space="preserve">best, 295</w:t>
            </w:r>
          </w:p>
        </w:tc>
        <w:tc>
          <w:tcPr/>
          <w:p>
            <w:pPr>
              <w:pStyle w:val="Compact"/>
            </w:pPr>
            <w:r>
              <w:t xml:space="preserve">0.625 (0.610–0.641)</w:t>
            </w:r>
          </w:p>
        </w:tc>
      </w:tr>
      <w:tr>
        <w:tc>
          <w:tcPr/>
          <w:p>
            <w:pPr>
              <w:pStyle w:val="Compact"/>
            </w:pPr>
            <w:r>
              <w:t xml:space="preserve">Nearest</w:t>
            </w:r>
          </w:p>
        </w:tc>
        <w:tc>
          <w:tcPr/>
          <w:p>
            <w:pPr>
              <w:pStyle w:val="Compact"/>
            </w:pPr>
            <w:r>
              <w:t xml:space="preserve">Plain cosine</w:t>
            </w:r>
          </w:p>
        </w:tc>
        <w:tc>
          <w:tcPr/>
          <w:p>
            <w:pPr>
              <w:pStyle w:val="Compact"/>
            </w:pPr>
            <w:r>
              <w:t xml:space="preserve">all, 34,063</w:t>
            </w:r>
          </w:p>
        </w:tc>
        <w:tc>
          <w:tcPr/>
          <w:p>
            <w:pPr>
              <w:pStyle w:val="Compact"/>
            </w:pPr>
            <w:r>
              <w:t xml:space="preserve">0.608 (0.592–0.624)</w:t>
            </w:r>
          </w:p>
        </w:tc>
      </w:tr>
      <w:tr>
        <w:tc>
          <w:tcPr/>
          <w:p>
            <w:pPr>
              <w:pStyle w:val="Compact"/>
            </w:pPr>
            <w:r>
              <w:t xml:space="preserve">Nearest</w:t>
            </w:r>
          </w:p>
        </w:tc>
        <w:tc>
          <w:tcPr/>
          <w:p>
            <w:pPr>
              <w:pStyle w:val="Compact"/>
            </w:pPr>
            <w:r>
              <w:t xml:space="preserve">Logistic-regression-weighted</w:t>
            </w:r>
          </w:p>
        </w:tc>
        <w:tc>
          <w:tcPr/>
          <w:p>
            <w:pPr>
              <w:pStyle w:val="Compact"/>
            </w:pPr>
            <w:r>
              <w:t xml:space="preserve">all, 34,063</w:t>
            </w:r>
          </w:p>
        </w:tc>
        <w:tc>
          <w:tcPr/>
          <w:p>
            <w:pPr>
              <w:pStyle w:val="Compact"/>
            </w:pPr>
            <w:r>
              <w:t xml:space="preserve">0.624 (0.607–0.639)</w:t>
            </w:r>
          </w:p>
        </w:tc>
      </w:tr>
      <w:tr>
        <w:tc>
          <w:tcPr/>
          <w:p>
            <w:pPr>
              <w:pStyle w:val="Compact"/>
            </w:pPr>
            <w:r>
              <w:t xml:space="preserve">Random</w:t>
            </w:r>
          </w:p>
        </w:tc>
        <w:tc>
          <w:tcPr/>
          <w:p>
            <w:pPr>
              <w:pStyle w:val="Compact"/>
            </w:pPr>
            <w:r>
              <w:t xml:space="preserve">Uniform</w:t>
            </w:r>
          </w:p>
        </w:tc>
        <w:tc>
          <w:tcPr/>
          <w:p>
            <w:pPr>
              <w:pStyle w:val="Compact"/>
            </w:pPr>
            <w:r>
              <w:t xml:space="preserve">best, 32,720</w:t>
            </w:r>
          </w:p>
        </w:tc>
        <w:tc>
          <w:tcPr/>
          <w:p>
            <w:pPr>
              <w:pStyle w:val="Compact"/>
            </w:pPr>
            <w:r>
              <w:t xml:space="preserve">0.500 (0.484–0.515)</w:t>
            </w:r>
          </w:p>
        </w:tc>
      </w:tr>
    </w:tbl>
    <w:p>
      <w:pPr>
        <w:pStyle w:val="BodyText"/>
      </w:pPr>
      <w:r>
        <w:t xml:space="preserve">Figures S8 and S9 draw ROC curves and confusion matrices only at each arm’s best k, for all 4 encoders. Panels A–C are Qwen3-Embedding-8B’s 3 arms. Panels D–I are each other encoder’s 2 nearest-neighbor metrics, whose ROC AUCs at those k are reported in the manuscript (Nearest-Neighbor Retrieval Across Encoders). Random retrieval does not use the embedding, so it is drawn once, in panel C.</w:t>
      </w:r>
    </w:p>
    <w:p>
      <w:pPr>
        <w:pStyle w:val="BodyText"/>
      </w:pPr>
      <w:r>
        <w:t xml:space="preserve">A Qwen3-Embedding-8B, logistic-regression-weighted nearest retrieval, k = 295</w:t>
      </w:r>
    </w:p>
    <w:p>
      <w:pPr>
        <w:pStyle w:val="BodyText"/>
      </w:pPr>
      <w:r>
        <w:drawing>
          <wp:inline>
            <wp:extent cx="5303520" cy="2863900"/>
            <wp:effectExtent b="0" l="0" r="0" t="0"/>
            <wp:docPr descr="" title="" id="109" name="Picture"/>
            <a:graphic>
              <a:graphicData uri="http://schemas.openxmlformats.org/drawingml/2006/picture">
                <pic:pic>
                  <pic:nvPicPr>
                    <pic:cNvPr descr="../results/Qwen-Qwen3-Embedding-8B/google_medgemma-27b-text-it/neighbor_count_sweep/best_k_panels/roc_curve_NEAREST_IMPORTANCE_WEIGHTED_alpha1_k295.png" id="110" name="Picture"/>
                    <pic:cNvPicPr>
                      <a:picLocks noChangeArrowheads="1" noChangeAspect="1"/>
                    </pic:cNvPicPr>
                  </pic:nvPicPr>
                  <pic:blipFill>
                    <a:blip r:embed="rId10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112" name="Picture"/>
            <a:graphic>
              <a:graphicData uri="http://schemas.openxmlformats.org/drawingml/2006/picture">
                <pic:pic>
                  <pic:nvPicPr>
                    <pic:cNvPr descr="../results/Qwen-Qwen3-Embedding-8B/google_medgemma-27b-text-it/neighbor_count_sweep/best_k_panels/roc_curve_NEAREST_PLAIN_COSINE_alpha1_k757.png" id="113" name="Picture"/>
                    <pic:cNvPicPr>
                      <a:picLocks noChangeArrowheads="1" noChangeAspect="1"/>
                    </pic:cNvPicPr>
                  </pic:nvPicPr>
                  <pic:blipFill>
                    <a:blip r:embed="rId11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15" name="Picture"/>
            <a:graphic>
              <a:graphicData uri="http://schemas.openxmlformats.org/drawingml/2006/picture">
                <pic:pic>
                  <pic:nvPicPr>
                    <pic:cNvPr descr="../results/Qwen-Qwen3-Embedding-8B/google_medgemma-27b-text-it/neighbor_count_sweep/best_k_panels/roc_curve_RANDOM_UNIFORM_k32720.png" id="116" name="Picture"/>
                    <pic:cNvPicPr>
                      <a:picLocks noChangeArrowheads="1" noChangeAspect="1"/>
                    </pic:cNvPicPr>
                  </pic:nvPicPr>
                  <pic:blipFill>
                    <a:blip r:embed="rId11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118" name="Picture"/>
            <a:graphic>
              <a:graphicData uri="http://schemas.openxmlformats.org/drawingml/2006/picture">
                <pic:pic>
                  <pic:nvPicPr>
                    <pic:cNvPr descr="../results/bge-small-en-v1.5/google_medgemma-27b-text-it/neighbor_count_sweep/best_k_panels/roc_curve_NEAREST_IMPORTANCE_WEIGHTED_alpha1_k579.png" id="119" name="Picture"/>
                    <pic:cNvPicPr>
                      <a:picLocks noChangeArrowheads="1" noChangeAspect="1"/>
                    </pic:cNvPicPr>
                  </pic:nvPicPr>
                  <pic:blipFill>
                    <a:blip r:embed="rId11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121" name="Picture"/>
            <a:graphic>
              <a:graphicData uri="http://schemas.openxmlformats.org/drawingml/2006/picture">
                <pic:pic>
                  <pic:nvPicPr>
                    <pic:cNvPr descr="../results/bge-small-en-v1.5/google_medgemma-27b-text-it/neighbor_count_sweep/best_k_panels/roc_curve_NEAREST_PLAIN_COSINE_alpha1_k1243.png" id="122" name="Picture"/>
                    <pic:cNvPicPr>
                      <a:picLocks noChangeArrowheads="1" noChangeAspect="1"/>
                    </pic:cNvPicPr>
                  </pic:nvPicPr>
                  <pic:blipFill>
                    <a:blip r:embed="rId1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124" name="Picture"/>
            <a:graphic>
              <a:graphicData uri="http://schemas.openxmlformats.org/drawingml/2006/picture">
                <pic:pic>
                  <pic:nvPicPr>
                    <pic:cNvPr descr="../results/bge-en-icl/google_medgemma-27b-text-it/neighbor_count_sweep/best_k_panels/roc_curve_NEAREST_IMPORTANCE_WEIGHTED_alpha1_k1519.png" id="125" name="Picture"/>
                    <pic:cNvPicPr>
                      <a:picLocks noChangeArrowheads="1" noChangeAspect="1"/>
                    </pic:cNvPicPr>
                  </pic:nvPicPr>
                  <pic:blipFill>
                    <a:blip r:embed="rId1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127" name="Picture"/>
            <a:graphic>
              <a:graphicData uri="http://schemas.openxmlformats.org/drawingml/2006/picture">
                <pic:pic>
                  <pic:nvPicPr>
                    <pic:cNvPr descr="../results/bge-en-icl/google_medgemma-27b-text-it/neighbor_count_sweep/best_k_panels/roc_curve_NEAREST_PLAIN_COSINE_alpha1_k413.png" id="128" name="Picture"/>
                    <pic:cNvPicPr>
                      <a:picLocks noChangeArrowheads="1" noChangeAspect="1"/>
                    </pic:cNvPicPr>
                  </pic:nvPicPr>
                  <pic:blipFill>
                    <a:blip r:embed="rId12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130" name="Picture"/>
            <a:graphic>
              <a:graphicData uri="http://schemas.openxmlformats.org/drawingml/2006/picture">
                <pic:pic>
                  <pic:nvPicPr>
                    <pic:cNvPr descr="../results/Qwen-Qwen3-Embedding-4B/google_medgemma-27b-text-it/neighbor_count_sweep/best_k_panels/roc_curve_NEAREST_IMPORTANCE_WEIGHTED_alpha1_k684.png" id="131" name="Picture"/>
                    <pic:cNvPicPr>
                      <a:picLocks noChangeArrowheads="1" noChangeAspect="1"/>
                    </pic:cNvPicPr>
                  </pic:nvPicPr>
                  <pic:blipFill>
                    <a:blip r:embed="rId12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133" name="Picture"/>
            <a:graphic>
              <a:graphicData uri="http://schemas.openxmlformats.org/drawingml/2006/picture">
                <pic:pic>
                  <pic:nvPicPr>
                    <pic:cNvPr descr="../results/Qwen-Qwen3-Embedding-4B/google_medgemma-27b-text-it/neighbor_count_sweep/best_k_panels/roc_curve_NEAREST_PLAIN_COSINE_alpha1_k493.png" id="134" name="Picture"/>
                    <pic:cNvPicPr>
                      <a:picLocks noChangeArrowheads="1" noChangeAspect="1"/>
                    </pic:cNvPicPr>
                  </pic:nvPicPr>
                  <pic:blipFill>
                    <a:blip r:embed="rId13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at each arm’s own test-selected best k, with</w:t>
      </w:r>
      <w:r>
        <w:t xml:space="preserve"> </w:t>
      </w:r>
      <m:oMath>
        <m:r>
          <m:t>α</m:t>
        </m:r>
      </m:oMath>
      <w:r>
        <w:t xml:space="preserve"> </w:t>
      </w:r>
      <w:r>
        <w:t xml:space="preserve">= 1 for nearest retrieval. A–C: Qwen3-Embedding-8B under logistic-regression-weighted (A) and plain-cosine (B) nearest retrieval and uniform random retrieval (C). D–I: logistic-regression-weighted and plain-cosine nearest retrieval for bge-small-en-v1.5 (D–E), bge-en-icl (F–G), and Qwen3-Embedding-4B (H–I), each weighted by its own embedded logistic regression. C is the draw whose AUC at that k is closest to the mean of 1,000 draws; its band, and the intervals in Figure S9C, are the bootstrap 95% CI of that one draw over test patients, not the 2.5th–97.5th percentile across draws in Table S7. Best k was chosen on the test patients, so every panel is optimistic. Shaded bands are bootstrap 95% CIs. ROC: receiver operating characteristic.</w:t>
      </w:r>
    </w:p>
    <w:p>
      <w:pPr>
        <w:pStyle w:val="BodyText"/>
      </w:pPr>
      <w:r>
        <w:t xml:space="preserve">A Qwen3-Embedding-8B, logistic-regression-weighted nearest retrieval, k = 295</w:t>
      </w:r>
    </w:p>
    <w:p>
      <w:pPr>
        <w:pStyle w:val="BodyText"/>
      </w:pPr>
      <w:r>
        <w:drawing>
          <wp:inline>
            <wp:extent cx="5303520" cy="2863900"/>
            <wp:effectExtent b="0" l="0" r="0" t="0"/>
            <wp:docPr descr="" title="" id="136" name="Picture"/>
            <a:graphic>
              <a:graphicData uri="http://schemas.openxmlformats.org/drawingml/2006/picture">
                <pic:pic>
                  <pic:nvPicPr>
                    <pic:cNvPr descr="../results/Qwen-Qwen3-Embedding-8B/google_medgemma-27b-text-it/neighbor_count_sweep/best_k_panels/confusion_matrix_NEAREST_IMPORTANCE_WEIGHTED_alpha1_k295.png" id="137" name="Picture"/>
                    <pic:cNvPicPr>
                      <a:picLocks noChangeArrowheads="1" noChangeAspect="1"/>
                    </pic:cNvPicPr>
                  </pic:nvPicPr>
                  <pic:blipFill>
                    <a:blip r:embed="rId13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139" name="Picture"/>
            <a:graphic>
              <a:graphicData uri="http://schemas.openxmlformats.org/drawingml/2006/picture">
                <pic:pic>
                  <pic:nvPicPr>
                    <pic:cNvPr descr="../results/Qwen-Qwen3-Embedding-8B/google_medgemma-27b-text-it/neighbor_count_sweep/best_k_panels/confusion_matrix_NEAREST_PLAIN_COSINE_alpha1_k757.png" id="140" name="Picture"/>
                    <pic:cNvPicPr>
                      <a:picLocks noChangeArrowheads="1" noChangeAspect="1"/>
                    </pic:cNvPicPr>
                  </pic:nvPicPr>
                  <pic:blipFill>
                    <a:blip r:embed="rId13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42" name="Picture"/>
            <a:graphic>
              <a:graphicData uri="http://schemas.openxmlformats.org/drawingml/2006/picture">
                <pic:pic>
                  <pic:nvPicPr>
                    <pic:cNvPr descr="../results/Qwen-Qwen3-Embedding-8B/google_medgemma-27b-text-it/neighbor_count_sweep/best_k_panels/confusion_matrix_RANDOM_UNIFORM_k32720.png" id="143" name="Picture"/>
                    <pic:cNvPicPr>
                      <a:picLocks noChangeArrowheads="1" noChangeAspect="1"/>
                    </pic:cNvPicPr>
                  </pic:nvPicPr>
                  <pic:blipFill>
                    <a:blip r:embed="rId14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145" name="Picture"/>
            <a:graphic>
              <a:graphicData uri="http://schemas.openxmlformats.org/drawingml/2006/picture">
                <pic:pic>
                  <pic:nvPicPr>
                    <pic:cNvPr descr="../results/bge-small-en-v1.5/google_medgemma-27b-text-it/neighbor_count_sweep/best_k_panels/confusion_matrix_NEAREST_IMPORTANCE_WEIGHTED_alpha1_k579.png" id="146" name="Picture"/>
                    <pic:cNvPicPr>
                      <a:picLocks noChangeArrowheads="1" noChangeAspect="1"/>
                    </pic:cNvPicPr>
                  </pic:nvPicPr>
                  <pic:blipFill>
                    <a:blip r:embed="rId1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148" name="Picture"/>
            <a:graphic>
              <a:graphicData uri="http://schemas.openxmlformats.org/drawingml/2006/picture">
                <pic:pic>
                  <pic:nvPicPr>
                    <pic:cNvPr descr="../results/bge-small-en-v1.5/google_medgemma-27b-text-it/neighbor_count_sweep/best_k_panels/confusion_matrix_NEAREST_PLAIN_COSINE_alpha1_k1243.png" id="149" name="Picture"/>
                    <pic:cNvPicPr>
                      <a:picLocks noChangeArrowheads="1" noChangeAspect="1"/>
                    </pic:cNvPicPr>
                  </pic:nvPicPr>
                  <pic:blipFill>
                    <a:blip r:embed="rId1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151" name="Picture"/>
            <a:graphic>
              <a:graphicData uri="http://schemas.openxmlformats.org/drawingml/2006/picture">
                <pic:pic>
                  <pic:nvPicPr>
                    <pic:cNvPr descr="../results/bge-en-icl/google_medgemma-27b-text-it/neighbor_count_sweep/best_k_panels/confusion_matrix_NEAREST_IMPORTANCE_WEIGHTED_alpha1_k1519.png" id="152" name="Picture"/>
                    <pic:cNvPicPr>
                      <a:picLocks noChangeArrowheads="1" noChangeAspect="1"/>
                    </pic:cNvPicPr>
                  </pic:nvPicPr>
                  <pic:blipFill>
                    <a:blip r:embed="rId15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154" name="Picture"/>
            <a:graphic>
              <a:graphicData uri="http://schemas.openxmlformats.org/drawingml/2006/picture">
                <pic:pic>
                  <pic:nvPicPr>
                    <pic:cNvPr descr="../results/bge-en-icl/google_medgemma-27b-text-it/neighbor_count_sweep/best_k_panels/confusion_matrix_NEAREST_PLAIN_COSINE_alpha1_k413.png" id="155" name="Picture"/>
                    <pic:cNvPicPr>
                      <a:picLocks noChangeArrowheads="1" noChangeAspect="1"/>
                    </pic:cNvPicPr>
                  </pic:nvPicPr>
                  <pic:blipFill>
                    <a:blip r:embed="rId15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157" name="Picture"/>
            <a:graphic>
              <a:graphicData uri="http://schemas.openxmlformats.org/drawingml/2006/picture">
                <pic:pic>
                  <pic:nvPicPr>
                    <pic:cNvPr descr="../results/Qwen-Qwen3-Embedding-4B/google_medgemma-27b-text-it/neighbor_count_sweep/best_k_panels/confusion_matrix_NEAREST_IMPORTANCE_WEIGHTED_alpha1_k684.png" id="158" name="Picture"/>
                    <pic:cNvPicPr>
                      <a:picLocks noChangeArrowheads="1" noChangeAspect="1"/>
                    </pic:cNvPicPr>
                  </pic:nvPicPr>
                  <pic:blipFill>
                    <a:blip r:embed="rId15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160" name="Picture"/>
            <a:graphic>
              <a:graphicData uri="http://schemas.openxmlformats.org/drawingml/2006/picture">
                <pic:pic>
                  <pic:nvPicPr>
                    <pic:cNvPr descr="../results/Qwen-Qwen3-Embedding-4B/google_medgemma-27b-text-it/neighbor_count_sweep/best_k_panels/confusion_matrix_NEAREST_PLAIN_COSINE_alpha1_k493.png" id="161" name="Picture"/>
                    <pic:cNvPicPr>
                      <a:picLocks noChangeArrowheads="1" noChangeAspect="1"/>
                    </pic:cNvPicPr>
                  </pic:nvPicPr>
                  <pic:blipFill>
                    <a:blip r:embed="rId15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9 panels of Figure S8 at the same k, at test-selected Youden J thresholds, with bootstrap 95% CIs on every metric at that threshold; the panels’ F score is F1. These operating points were selected and evaluated in the same patients and are descriptive.</w:t>
      </w:r>
    </w:p>
    <w:p>
      <w:pPr>
        <w:pStyle w:val="BodyText"/>
      </w:pPr>
      <w:r>
        <w:t xml:space="preserve">Each encoder’s logistic regression relied on a similar number of embedding dimensions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S10).</w:t>
      </w:r>
    </w:p>
    <w:p>
      <w:pPr>
        <w:pStyle w:val="BodyText"/>
      </w:pPr>
      <w:r>
        <w:t xml:space="preserve">Dividing each count by the encoder’s number of dimensions gives the share the model relied on: 65.9% for bge-small-en-v1.5 (253 of 384), 6.6% for bge-en-icl (271 of 4,096), 63.5% for Qwen3-Embedding-4B (1,626 of 2,560), and 5.8% for Qwen3-Embedding-8B (236 of 4,096). The share split the encoders by penalty, not by size. The grid search chose an L2 penalty for the 2 encoders near 65%, which keeps every coefficient, and an elastic-net penalty for the 2 near 6%, which sets most coefficients to zero. Best k did not follow the share either (Figure S11). The 2 encoders near 6% had both the highest and the lowest logistic-regression-weighted best k, 1,519 and 295.</w:t>
      </w:r>
    </w:p>
    <w:p>
      <w:pPr>
        <w:pStyle w:val="BodyText"/>
      </w:pPr>
      <w:r>
        <w:t xml:space="preserve">These counts describe a fitted model in its own coordinates. They do not measure how many independent risk factors the records hold, and they need not match the number of neighbors that predicts best. With 4 encoders, both figures describe a relation and do not test one.</w:t>
      </w:r>
    </w:p>
    <w:p>
      <w:pPr>
        <w:pStyle w:val="BodyText"/>
      </w:pPr>
      <w:r>
        <w:drawing>
          <wp:inline>
            <wp:extent cx="5120640" cy="4294730"/>
            <wp:effectExtent b="0" l="0" r="0" t="0"/>
            <wp:docPr descr="" title="" id="163" name="Picture"/>
            <a:graphic>
              <a:graphicData uri="http://schemas.openxmlformats.org/drawingml/2006/picture">
                <pic:pic>
                  <pic:nvPicPr>
                    <pic:cNvPr descr="../results/cross_embedder_retrieval/lr_dimensions_vs_best_k.png" id="164" name="Picture"/>
                    <pic:cNvPicPr>
                      <a:picLocks noChangeArrowheads="1" noChangeAspect="1"/>
                    </pic:cNvPicPr>
                  </pic:nvPicPr>
                  <pic:blipFill>
                    <a:blip r:embed="rId162"/>
                    <a:stretch>
                      <a:fillRect/>
                    </a:stretch>
                  </pic:blipFill>
                  <pic:spPr bwMode="auto">
                    <a:xfrm>
                      <a:off x="0" y="0"/>
                      <a:ext cx="5120640" cy="4294730"/>
                    </a:xfrm>
                    <a:prstGeom prst="rect">
                      <a:avLst/>
                    </a:prstGeom>
                    <a:noFill/>
                    <a:ln w="9525">
                      <a:noFill/>
                      <a:headEnd/>
                      <a:tailEnd/>
                    </a:ln>
                  </pic:spPr>
                </pic:pic>
              </a:graphicData>
            </a:graphic>
          </wp:inline>
        </w:drawing>
      </w:r>
    </w:p>
    <w:p>
      <w:pPr>
        <w:pStyle w:val="BodyText"/>
      </w:pPr>
      <w:r>
        <w:t xml:space="preserve">Figure S10. 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 In-plot labels abbreviate bge-small-en-v1.5, Qwen3-Embedding-4B, and Qwen3-Embedding-8B.</w:t>
      </w:r>
    </w:p>
    <w:p>
      <w:pPr>
        <w:pStyle w:val="BodyText"/>
      </w:pPr>
      <w:r>
        <w:drawing>
          <wp:inline>
            <wp:extent cx="5120640" cy="4294730"/>
            <wp:effectExtent b="0" l="0" r="0" t="0"/>
            <wp:docPr descr="" title="" id="166" name="Picture"/>
            <a:graphic>
              <a:graphicData uri="http://schemas.openxmlformats.org/drawingml/2006/picture">
                <pic:pic>
                  <pic:nvPicPr>
                    <pic:cNvPr descr="../results/cross_embedder_retrieval/lr_dimension_share_vs_best_k.png" id="167" name="Picture"/>
                    <pic:cNvPicPr>
                      <a:picLocks noChangeArrowheads="1" noChangeAspect="1"/>
                    </pic:cNvPicPr>
                  </pic:nvPicPr>
                  <pic:blipFill>
                    <a:blip r:embed="rId165"/>
                    <a:stretch>
                      <a:fillRect/>
                    </a:stretch>
                  </pic:blipFill>
                  <pic:spPr bwMode="auto">
                    <a:xfrm>
                      <a:off x="0" y="0"/>
                      <a:ext cx="5120640" cy="4294730"/>
                    </a:xfrm>
                    <a:prstGeom prst="rect">
                      <a:avLst/>
                    </a:prstGeom>
                    <a:noFill/>
                    <a:ln w="9525">
                      <a:noFill/>
                      <a:headEnd/>
                      <a:tailEnd/>
                    </a:ln>
                  </pic:spPr>
                </pic:pic>
              </a:graphicData>
            </a:graphic>
          </wp:inline>
        </w:drawing>
      </w:r>
    </w:p>
    <w:p>
      <w:pPr>
        <w:pStyle w:val="BodyText"/>
      </w:pPr>
      <w:r>
        <w:t xml:space="preserve">Figure S11. Share of embedding dimensions against best k for the 4 encoders. The horizontal axis is the count in Figure S10 divided by the encoder’s number of embedding dimensions; each label gives the count and the total. The vertical axis is as in Figure S10 and is logarithmic. The 2 encoders near 65% were fitted with an L2 penalty and the 2 near 6% with an elastic-net penalty.</w:t>
      </w:r>
    </w:p>
    <w:bookmarkEnd w:id="168"/>
    <w:bookmarkStart w:id="181" w:name="s7-record-length-and-prediction"/>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(95% CI −0.082 to −0.064) for pre-index history length, −0.064 (95% CI −0.073 to −0.054) for encounter count, and −0.029 (95% CI −0.038 to −0.020) for diagnosis-to-index interval. Prescribing on the day of diagnosis or the next day occurred in 27,906 patients, with outcome frequency 18.4% (95% CI 17.9–18.8), compared with 14,673 patients and 15.9% (95% CI 15.3–16.5) for later prescribing (Figure S12).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70" name="Picture"/>
            <a:graphic>
              <a:graphicData uri="http://schemas.openxmlformats.org/drawingml/2006/picture">
                <pic:pic>
                  <pic:nvPicPr>
                    <pic:cNvPr descr="../results/notebook_figures/density_pre_anchor_history_days.png" id="171" name="Picture"/>
                    <pic:cNvPicPr>
                      <a:picLocks noChangeArrowheads="1" noChangeAspect="1"/>
                    </pic:cNvPicPr>
                  </pic:nvPicPr>
                  <pic:blipFill>
                    <a:blip r:embed="rId169"/>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73" name="Picture"/>
            <a:graphic>
              <a:graphicData uri="http://schemas.openxmlformats.org/drawingml/2006/picture">
                <pic:pic>
                  <pic:nvPicPr>
                    <pic:cNvPr descr="../results/notebook_figures/density_mdd_to_anchor_days.png" id="174" name="Picture"/>
                    <pic:cNvPicPr>
                      <a:picLocks noChangeArrowheads="1" noChangeAspect="1"/>
                    </pic:cNvPicPr>
                  </pic:nvPicPr>
                  <pic:blipFill>
                    <a:blip r:embed="rId17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C Encounter count</w:t>
      </w:r>
    </w:p>
    <w:p>
      <w:pPr>
        <w:pStyle w:val="BodyText"/>
      </w:pPr>
      <w:r>
        <w:drawing>
          <wp:inline>
            <wp:extent cx="5212080" cy="2978331"/>
            <wp:effectExtent b="0" l="0" r="0" t="0"/>
            <wp:docPr descr="" title="" id="176" name="Picture"/>
            <a:graphic>
              <a:graphicData uri="http://schemas.openxmlformats.org/drawingml/2006/picture">
                <pic:pic>
                  <pic:nvPicPr>
                    <pic:cNvPr descr="../results/notebook_figures/density_num_encounters.png" id="177" name="Picture"/>
                    <pic:cNvPicPr>
                      <a:picLocks noChangeArrowheads="1" noChangeAspect="1"/>
                    </pic:cNvPicPr>
                  </pic:nvPicPr>
                  <pic:blipFill>
                    <a:blip r:embed="rId175"/>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79" name="Picture"/>
            <a:graphic>
              <a:graphicData uri="http://schemas.openxmlformats.org/drawingml/2006/picture">
                <pic:pic>
                  <pic:nvPicPr>
                    <pic:cNvPr descr="../results/review/metric_intervals/trd_rate_by_prescription_timing.png" id="180" name="Picture"/>
                    <pic:cNvPicPr>
                      <a:picLocks noChangeArrowheads="1" noChangeAspect="1"/>
                    </pic:cNvPicPr>
                  </pic:nvPicPr>
                  <pic:blipFill>
                    <a:blip r:embed="rId178"/>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S12. Record length, diagnosis-to-index interval, encounter count, and outcome frequency by prescription timing. A–C show outcome-stratified distributions; axes are truncated as labeled. D compares prescribing within 1 day of diagnosis (the day of diagnosis or the next day) with prescribing 2 or more days later. Bars carry Wilson 95% CIs, and each bar is labeled with its outcome frequency and counts. The dashed line is the cohort outcome frequency, 17.5%, with its 95% CI (17.2–17.9) shaded.</w:t>
      </w:r>
    </w:p>
    <w:p>
      <w:pPr>
        <w:pStyle w:val="BodyText"/>
      </w:pPr>
      <w:r>
        <w:t xml:space="preserve">The held-out test set was divided into quintiles of pre-index history length, and each retrieval arm was scored within each quintile at its own best k from section S6 (Table S8).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logistic-regression-weighted cosine; plain: plain cosine. Random retrieval uses uniform weights and the draw whose AUC at its best k is closest to the mean of 1,000 draws.</w:t>
      </w:r>
    </w:p>
    <w:tbl>
      <w:tblPr>
        <w:tblStyle w:val="Table"/>
        <w:tblW w:type="pct" w:w="5000"/>
        <w:tblLayout w:type="fixed"/>
        <w:tblLook w:firstRow="1" w:lastRow="0" w:firstColumn="0" w:lastColumn="0" w:noHBand="0" w:noVBand="0" w:val="0020"/>
      </w:tblPr>
      <w:tblGrid>
        <w:gridCol w:w="1066"/>
        <w:gridCol w:w="685"/>
        <w:gridCol w:w="685"/>
        <w:gridCol w:w="1827"/>
        <w:gridCol w:w="1827"/>
        <w:gridCol w:w="1827"/>
      </w:tblGrid>
      <w:tr>
        <w:trPr>
          <w:tblHeader w:val="on"/>
        </w:trPr>
        <w:tc>
          <w:tcPr/>
          <w:p>
            <w:pPr>
              <w:pStyle w:val="Compact"/>
            </w:pPr>
            <w:r>
              <w:rPr>
                <w:b/>
                <w:bCs/>
              </w:rPr>
              <w:t xml:space="preserve">Days</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Weighted, k = 295</w:t>
            </w:r>
          </w:p>
        </w:tc>
        <w:tc>
          <w:tcPr/>
          <w:p>
            <w:pPr>
              <w:pStyle w:val="Compact"/>
            </w:pPr>
            <w:r>
              <w:rPr>
                <w:b/>
                <w:bCs/>
              </w:rPr>
              <w:t xml:space="preserve">Plain, k = 757</w:t>
            </w:r>
          </w:p>
        </w:tc>
        <w:tc>
          <w:tcPr/>
          <w:p>
            <w:pPr>
              <w:pStyle w:val="Compact"/>
            </w:pPr>
            <w:r>
              <w:rPr>
                <w:b/>
                <w:bCs/>
              </w:rPr>
              <w:t xml:space="preserve">Random, k = 32,720</w:t>
            </w:r>
          </w:p>
        </w:tc>
      </w:tr>
      <w:tr>
        <w:tc>
          <w:tcPr/>
          <w:p>
            <w:pPr>
              <w:pStyle w:val="Compact"/>
            </w:pPr>
            <w:r>
              <w:t xml:space="preserve">731–1,110</w:t>
            </w:r>
          </w:p>
        </w:tc>
        <w:tc>
          <w:tcPr/>
          <w:p>
            <w:pPr>
              <w:pStyle w:val="Compact"/>
              <w:jc w:val="right"/>
            </w:pPr>
            <w:r>
              <w:t xml:space="preserve">1,706</w:t>
            </w:r>
          </w:p>
        </w:tc>
        <w:tc>
          <w:tcPr/>
          <w:p>
            <w:pPr>
              <w:pStyle w:val="Compact"/>
              <w:jc w:val="right"/>
            </w:pPr>
            <w:r>
              <w:t xml:space="preserve">372</w:t>
            </w:r>
          </w:p>
        </w:tc>
        <w:tc>
          <w:tcPr/>
          <w:p>
            <w:pPr>
              <w:pStyle w:val="Compact"/>
            </w:pPr>
            <w:r>
              <w:t xml:space="preserve">0.625 (0.592–0.657)</w:t>
            </w:r>
          </w:p>
        </w:tc>
        <w:tc>
          <w:tcPr/>
          <w:p>
            <w:pPr>
              <w:pStyle w:val="Compact"/>
            </w:pPr>
            <w:r>
              <w:t xml:space="preserve">0.619 (0.585–0.651)</w:t>
            </w:r>
          </w:p>
        </w:tc>
        <w:tc>
          <w:tcPr/>
          <w:p>
            <w:pPr>
              <w:pStyle w:val="Compact"/>
            </w:pPr>
            <w:r>
              <w:t xml:space="preserve">0.479 (0.447–0.513)</w:t>
            </w:r>
          </w:p>
        </w:tc>
      </w:tr>
      <w:tr>
        <w:tc>
          <w:tcPr/>
          <w:p>
            <w:pPr>
              <w:pStyle w:val="Compact"/>
            </w:pPr>
            <w:r>
              <w:t xml:space="preserve">1,111–1,554</w:t>
            </w:r>
          </w:p>
        </w:tc>
        <w:tc>
          <w:tcPr/>
          <w:p>
            <w:pPr>
              <w:pStyle w:val="Compact"/>
              <w:jc w:val="right"/>
            </w:pPr>
            <w:r>
              <w:t xml:space="preserve">1,704</w:t>
            </w:r>
          </w:p>
        </w:tc>
        <w:tc>
          <w:tcPr/>
          <w:p>
            <w:pPr>
              <w:pStyle w:val="Compact"/>
              <w:jc w:val="right"/>
            </w:pPr>
            <w:r>
              <w:t xml:space="preserve">317</w:t>
            </w:r>
          </w:p>
        </w:tc>
        <w:tc>
          <w:tcPr/>
          <w:p>
            <w:pPr>
              <w:pStyle w:val="Compact"/>
            </w:pPr>
            <w:r>
              <w:t xml:space="preserve">0.624 (0.590–0.658)</w:t>
            </w:r>
          </w:p>
        </w:tc>
        <w:tc>
          <w:tcPr/>
          <w:p>
            <w:pPr>
              <w:pStyle w:val="Compact"/>
            </w:pPr>
            <w:r>
              <w:t xml:space="preserve">0.619 (0.584–0.652)</w:t>
            </w:r>
          </w:p>
        </w:tc>
        <w:tc>
          <w:tcPr/>
          <w:p>
            <w:pPr>
              <w:pStyle w:val="Compact"/>
            </w:pPr>
            <w:r>
              <w:t xml:space="preserve">0.526 (0.489–0.561)</w:t>
            </w:r>
          </w:p>
        </w:tc>
      </w:tr>
      <w:tr>
        <w:tc>
          <w:tcPr/>
          <w:p>
            <w:pPr>
              <w:pStyle w:val="Compact"/>
            </w:pPr>
            <w:r>
              <w:t xml:space="preserve">1,555–2,066</w:t>
            </w:r>
          </w:p>
        </w:tc>
        <w:tc>
          <w:tcPr/>
          <w:p>
            <w:pPr>
              <w:pStyle w:val="Compact"/>
              <w:jc w:val="right"/>
            </w:pPr>
            <w:r>
              <w:t xml:space="preserve">1,701</w:t>
            </w:r>
          </w:p>
        </w:tc>
        <w:tc>
          <w:tcPr/>
          <w:p>
            <w:pPr>
              <w:pStyle w:val="Compact"/>
              <w:jc w:val="right"/>
            </w:pPr>
            <w:r>
              <w:t xml:space="preserve">290</w:t>
            </w:r>
          </w:p>
        </w:tc>
        <w:tc>
          <w:tcPr/>
          <w:p>
            <w:pPr>
              <w:pStyle w:val="Compact"/>
            </w:pPr>
            <w:r>
              <w:t xml:space="preserve">0.600 (0.564–0.636)</w:t>
            </w:r>
          </w:p>
        </w:tc>
        <w:tc>
          <w:tcPr/>
          <w:p>
            <w:pPr>
              <w:pStyle w:val="Compact"/>
            </w:pPr>
            <w:r>
              <w:t xml:space="preserve">0.608 (0.572–0.643)</w:t>
            </w:r>
          </w:p>
        </w:tc>
        <w:tc>
          <w:tcPr/>
          <w:p>
            <w:pPr>
              <w:pStyle w:val="Compact"/>
            </w:pPr>
            <w:r>
              <w:t xml:space="preserve">0.531 (0.492–0.564)</w:t>
            </w:r>
          </w:p>
        </w:tc>
      </w:tr>
      <w:tr>
        <w:tc>
          <w:tcPr/>
          <w:p>
            <w:pPr>
              <w:pStyle w:val="Compact"/>
            </w:pPr>
            <w:r>
              <w:t xml:space="preserve">2,067–2,733</w:t>
            </w:r>
          </w:p>
        </w:tc>
        <w:tc>
          <w:tcPr/>
          <w:p>
            <w:pPr>
              <w:pStyle w:val="Compact"/>
              <w:jc w:val="right"/>
            </w:pPr>
            <w:r>
              <w:t xml:space="preserve">1,704</w:t>
            </w:r>
          </w:p>
        </w:tc>
        <w:tc>
          <w:tcPr/>
          <w:p>
            <w:pPr>
              <w:pStyle w:val="Compact"/>
              <w:jc w:val="right"/>
            </w:pPr>
            <w:r>
              <w:t xml:space="preserve">282</w:t>
            </w:r>
          </w:p>
        </w:tc>
        <w:tc>
          <w:tcPr/>
          <w:p>
            <w:pPr>
              <w:pStyle w:val="Compact"/>
            </w:pPr>
            <w:r>
              <w:t xml:space="preserve">0.633 (0.598–0.669)</w:t>
            </w:r>
          </w:p>
        </w:tc>
        <w:tc>
          <w:tcPr/>
          <w:p>
            <w:pPr>
              <w:pStyle w:val="Compact"/>
            </w:pPr>
            <w:r>
              <w:t xml:space="preserve">0.626 (0.592–0.663)</w:t>
            </w:r>
          </w:p>
        </w:tc>
        <w:tc>
          <w:tcPr/>
          <w:p>
            <w:pPr>
              <w:pStyle w:val="Compact"/>
            </w:pPr>
            <w:r>
              <w:t xml:space="preserve">0.487 (0.449–0.523)</w:t>
            </w:r>
          </w:p>
        </w:tc>
      </w:tr>
      <w:tr>
        <w:tc>
          <w:tcPr/>
          <w:p>
            <w:pPr>
              <w:pStyle w:val="Compact"/>
            </w:pPr>
            <w:r>
              <w:t xml:space="preserve">2,734–5,288</w:t>
            </w:r>
          </w:p>
        </w:tc>
        <w:tc>
          <w:tcPr/>
          <w:p>
            <w:pPr>
              <w:pStyle w:val="Compact"/>
              <w:jc w:val="right"/>
            </w:pPr>
            <w:r>
              <w:t xml:space="preserve">1,701</w:t>
            </w:r>
          </w:p>
        </w:tc>
        <w:tc>
          <w:tcPr/>
          <w:p>
            <w:pPr>
              <w:pStyle w:val="Compact"/>
              <w:jc w:val="right"/>
            </w:pPr>
            <w:r>
              <w:t xml:space="preserve">230</w:t>
            </w:r>
          </w:p>
        </w:tc>
        <w:tc>
          <w:tcPr/>
          <w:p>
            <w:pPr>
              <w:pStyle w:val="Compact"/>
            </w:pPr>
            <w:r>
              <w:t xml:space="preserve">0.619 (0.580–0.655)</w:t>
            </w:r>
          </w:p>
        </w:tc>
        <w:tc>
          <w:tcPr/>
          <w:p>
            <w:pPr>
              <w:pStyle w:val="Compact"/>
            </w:pPr>
            <w:r>
              <w:t xml:space="preserve">0.598 (0.561–0.636)</w:t>
            </w:r>
          </w:p>
        </w:tc>
        <w:tc>
          <w:tcPr/>
          <w:p>
            <w:pPr>
              <w:pStyle w:val="Compact"/>
            </w:pPr>
            <w:r>
              <w:t xml:space="preserve">0.479 (0.437–0.519)</w:t>
            </w:r>
          </w:p>
        </w:tc>
      </w:tr>
    </w:tbl>
    <w:p>
      <w:pPr>
        <w:pStyle w:val="BodyText"/>
      </w:pPr>
      <w:r>
        <w:t xml:space="preserve">AUC ranged from 0.600 to 0.633 for logistic-regression-weighted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181"/>
    <w:bookmarkStart w:id="182"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Characteristic</w:t>
            </w:r>
          </w:p>
        </w:tc>
        <w:tc>
          <w:tcPr/>
          <w:p>
            <w:pPr>
              <w:pStyle w:val="Compact"/>
              <w:jc w:val="left"/>
            </w:pPr>
            <w:r>
              <w:rPr>
                <w:b/>
                <w:bCs/>
              </w:rPr>
              <w:t xml:space="preserve">Training</w:t>
            </w:r>
          </w:p>
        </w:tc>
        <w:tc>
          <w:tcPr/>
          <w:p>
            <w:pPr>
              <w:pStyle w:val="Compact"/>
              <w:jc w:val="left"/>
            </w:pPr>
            <w:r>
              <w:rPr>
                <w:b/>
                <w:bCs/>
              </w:rPr>
              <w:t xml:space="preserve">Held-out</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55 (38-70)</w:t>
            </w:r>
          </w:p>
        </w:tc>
        <w:tc>
          <w:tcPr/>
          <w:p>
            <w:pPr>
              <w:pStyle w:val="Compact"/>
              <w:jc w:val="left"/>
            </w:pPr>
            <w:r>
              <w:t xml:space="preserve">-0.014</w:t>
            </w:r>
          </w:p>
        </w:tc>
      </w:tr>
      <w:tr>
        <w:tc>
          <w:tcPr/>
          <w:p>
            <w:pPr>
              <w:pStyle w:val="Compact"/>
              <w:jc w:val="left"/>
            </w:pPr>
            <w:r>
              <w:t xml:space="preserve">Age band: 18-29</w:t>
            </w:r>
          </w:p>
        </w:tc>
        <w:tc>
          <w:tcPr/>
          <w:p>
            <w:pPr>
              <w:pStyle w:val="Compact"/>
              <w:jc w:val="left"/>
            </w:pPr>
            <w:r>
              <w:t xml:space="preserve">4,428 (13.0%)</w:t>
            </w:r>
          </w:p>
        </w:tc>
        <w:tc>
          <w:tcPr/>
          <w:p>
            <w:pPr>
              <w:pStyle w:val="Compact"/>
              <w:jc w:val="left"/>
            </w:pPr>
            <w:r>
              <w:t xml:space="preserve">1,085 (12.7%)</w:t>
            </w:r>
          </w:p>
        </w:tc>
        <w:tc>
          <w:tcPr/>
          <w:p>
            <w:pPr>
              <w:pStyle w:val="Compact"/>
              <w:jc w:val="left"/>
            </w:pPr>
            <w:r>
              <w:t xml:space="preserve">+0.008</w:t>
            </w:r>
          </w:p>
        </w:tc>
      </w:tr>
      <w:tr>
        <w:tc>
          <w:tcPr/>
          <w:p>
            <w:pPr>
              <w:pStyle w:val="Compact"/>
              <w:jc w:val="left"/>
            </w:pPr>
            <w:r>
              <w:t xml:space="preserve">Age band: 30-44</w:t>
            </w:r>
          </w:p>
        </w:tc>
        <w:tc>
          <w:tcPr/>
          <w:p>
            <w:pPr>
              <w:pStyle w:val="Compact"/>
              <w:jc w:val="left"/>
            </w:pPr>
            <w:r>
              <w:t xml:space="preserve">7,198 (21.1%)</w:t>
            </w:r>
          </w:p>
        </w:tc>
        <w:tc>
          <w:tcPr/>
          <w:p>
            <w:pPr>
              <w:pStyle w:val="Compact"/>
              <w:jc w:val="left"/>
            </w:pPr>
            <w:r>
              <w:t xml:space="preserve">1,827 (21.5%)</w:t>
            </w:r>
          </w:p>
        </w:tc>
        <w:tc>
          <w:tcPr/>
          <w:p>
            <w:pPr>
              <w:pStyle w:val="Compact"/>
              <w:jc w:val="left"/>
            </w:pPr>
            <w:r>
              <w:t xml:space="preserve">-0.008</w:t>
            </w:r>
          </w:p>
        </w:tc>
      </w:tr>
      <w:tr>
        <w:tc>
          <w:tcPr/>
          <w:p>
            <w:pPr>
              <w:pStyle w:val="Compact"/>
              <w:jc w:val="left"/>
            </w:pPr>
            <w:r>
              <w:t xml:space="preserve">Age band: 45-64</w:t>
            </w:r>
          </w:p>
        </w:tc>
        <w:tc>
          <w:tcPr/>
          <w:p>
            <w:pPr>
              <w:pStyle w:val="Compact"/>
              <w:jc w:val="left"/>
            </w:pPr>
            <w:r>
              <w:t xml:space="preserve">10,632 (31.2%)</w:t>
            </w:r>
          </w:p>
        </w:tc>
        <w:tc>
          <w:tcPr/>
          <w:p>
            <w:pPr>
              <w:pStyle w:val="Compact"/>
              <w:jc w:val="left"/>
            </w:pPr>
            <w:r>
              <w:t xml:space="preserve">2,636 (31.0%)</w:t>
            </w:r>
          </w:p>
        </w:tc>
        <w:tc>
          <w:tcPr/>
          <w:p>
            <w:pPr>
              <w:pStyle w:val="Compact"/>
              <w:jc w:val="left"/>
            </w:pPr>
            <w:r>
              <w:t xml:space="preserve">+0.006</w:t>
            </w:r>
          </w:p>
        </w:tc>
      </w:tr>
      <w:tr>
        <w:tc>
          <w:tcPr/>
          <w:p>
            <w:pPr>
              <w:pStyle w:val="Compact"/>
              <w:jc w:val="left"/>
            </w:pPr>
            <w:r>
              <w:t xml:space="preserve">Age band: 65+</w:t>
            </w:r>
          </w:p>
        </w:tc>
        <w:tc>
          <w:tcPr/>
          <w:p>
            <w:pPr>
              <w:pStyle w:val="Compact"/>
              <w:jc w:val="left"/>
            </w:pPr>
            <w:r>
              <w:t xml:space="preserve">11,805 (34.7%)</w:t>
            </w:r>
          </w:p>
        </w:tc>
        <w:tc>
          <w:tcPr/>
          <w:p>
            <w:pPr>
              <w:pStyle w:val="Compact"/>
              <w:jc w:val="left"/>
            </w:pPr>
            <w:r>
              <w:t xml:space="preserve">2,968 (34.9%)</w:t>
            </w:r>
          </w:p>
        </w:tc>
        <w:tc>
          <w:tcPr/>
          <w:p>
            <w:pPr>
              <w:pStyle w:val="Compact"/>
              <w:jc w:val="left"/>
            </w:pPr>
            <w:r>
              <w:t xml:space="preserve">-0.004</w:t>
            </w:r>
          </w:p>
        </w:tc>
      </w:tr>
      <w:tr>
        <w:tc>
          <w:tcPr/>
          <w:p>
            <w:pPr>
              <w:pStyle w:val="Compact"/>
              <w:jc w:val="left"/>
            </w:pPr>
            <w:r>
              <w:t xml:space="preserve">Sex: Female</w:t>
            </w:r>
          </w:p>
        </w:tc>
        <w:tc>
          <w:tcPr/>
          <w:p>
            <w:pPr>
              <w:pStyle w:val="Compact"/>
              <w:jc w:val="left"/>
            </w:pPr>
            <w:r>
              <w:t xml:space="preserve">24,682 (72.5%)</w:t>
            </w:r>
          </w:p>
        </w:tc>
        <w:tc>
          <w:tcPr/>
          <w:p>
            <w:pPr>
              <w:pStyle w:val="Compact"/>
              <w:jc w:val="left"/>
            </w:pPr>
            <w:r>
              <w:t xml:space="preserve">6,168 (72.4%)</w:t>
            </w:r>
          </w:p>
        </w:tc>
        <w:tc>
          <w:tcPr/>
          <w:p>
            <w:pPr>
              <w:pStyle w:val="Compact"/>
              <w:jc w:val="left"/>
            </w:pPr>
            <w:r>
              <w:t xml:space="preserve">+0.001</w:t>
            </w:r>
          </w:p>
        </w:tc>
      </w:tr>
      <w:tr>
        <w:tc>
          <w:tcPr/>
          <w:p>
            <w:pPr>
              <w:pStyle w:val="Compact"/>
              <w:jc w:val="left"/>
            </w:pPr>
            <w:r>
              <w:t xml:space="preserve">Race: White/Caucasian</w:t>
            </w:r>
          </w:p>
        </w:tc>
        <w:tc>
          <w:tcPr/>
          <w:p>
            <w:pPr>
              <w:pStyle w:val="Compact"/>
              <w:jc w:val="left"/>
            </w:pPr>
            <w:r>
              <w:t xml:space="preserve">27,244 (80.0%)</w:t>
            </w:r>
          </w:p>
        </w:tc>
        <w:tc>
          <w:tcPr/>
          <w:p>
            <w:pPr>
              <w:pStyle w:val="Compact"/>
              <w:jc w:val="left"/>
            </w:pPr>
            <w:r>
              <w:t xml:space="preserve">6,835 (80.3%)</w:t>
            </w:r>
          </w:p>
        </w:tc>
        <w:tc>
          <w:tcPr/>
          <w:p>
            <w:pPr>
              <w:pStyle w:val="Compact"/>
              <w:jc w:val="left"/>
            </w:pPr>
            <w:r>
              <w:t xml:space="preserve">-0.007</w:t>
            </w:r>
          </w:p>
        </w:tc>
      </w:tr>
      <w:tr>
        <w:tc>
          <w:tcPr/>
          <w:p>
            <w:pPr>
              <w:pStyle w:val="Compact"/>
              <w:jc w:val="left"/>
            </w:pPr>
            <w:r>
              <w:t xml:space="preserve">Race: Black/African American</w:t>
            </w:r>
          </w:p>
        </w:tc>
        <w:tc>
          <w:tcPr/>
          <w:p>
            <w:pPr>
              <w:pStyle w:val="Compact"/>
              <w:jc w:val="left"/>
            </w:pPr>
            <w:r>
              <w:t xml:space="preserve">1,894 (5.6%)</w:t>
            </w:r>
          </w:p>
        </w:tc>
        <w:tc>
          <w:tcPr/>
          <w:p>
            <w:pPr>
              <w:pStyle w:val="Compact"/>
              <w:jc w:val="left"/>
            </w:pPr>
            <w:r>
              <w:t xml:space="preserve">474 (5.6%)</w:t>
            </w:r>
          </w:p>
        </w:tc>
        <w:tc>
          <w:tcPr/>
          <w:p>
            <w:pPr>
              <w:pStyle w:val="Compact"/>
              <w:jc w:val="left"/>
            </w:pPr>
            <w:r>
              <w:t xml:space="preserve">-0.000</w:t>
            </w:r>
          </w:p>
        </w:tc>
      </w:tr>
      <w:tr>
        <w:tc>
          <w:tcPr/>
          <w:p>
            <w:pPr>
              <w:pStyle w:val="Compact"/>
              <w:jc w:val="left"/>
            </w:pPr>
            <w:r>
              <w:t xml:space="preserve">Race: Am. Indian/Alaska Native</w:t>
            </w:r>
          </w:p>
        </w:tc>
        <w:tc>
          <w:tcPr/>
          <w:p>
            <w:pPr>
              <w:pStyle w:val="Compact"/>
              <w:jc w:val="left"/>
            </w:pPr>
            <w:r>
              <w:t xml:space="preserve">1,637 (4.8%)</w:t>
            </w:r>
          </w:p>
        </w:tc>
        <w:tc>
          <w:tcPr/>
          <w:p>
            <w:pPr>
              <w:pStyle w:val="Compact"/>
              <w:jc w:val="left"/>
            </w:pPr>
            <w:r>
              <w:t xml:space="preserve">396 (4.7%)</w:t>
            </w:r>
          </w:p>
        </w:tc>
        <w:tc>
          <w:tcPr/>
          <w:p>
            <w:pPr>
              <w:pStyle w:val="Compact"/>
              <w:jc w:val="left"/>
            </w:pPr>
            <w:r>
              <w:t xml:space="preserve">+0.007</w:t>
            </w:r>
          </w:p>
        </w:tc>
      </w:tr>
      <w:tr>
        <w:tc>
          <w:tcPr/>
          <w:p>
            <w:pPr>
              <w:pStyle w:val="Compact"/>
              <w:jc w:val="left"/>
            </w:pPr>
            <w:r>
              <w:t xml:space="preserve">Race: Missing</w:t>
            </w:r>
          </w:p>
        </w:tc>
        <w:tc>
          <w:tcPr/>
          <w:p>
            <w:pPr>
              <w:pStyle w:val="Compact"/>
              <w:jc w:val="left"/>
            </w:pPr>
            <w:r>
              <w:t xml:space="preserve">247 (0.7%)</w:t>
            </w:r>
          </w:p>
        </w:tc>
        <w:tc>
          <w:tcPr/>
          <w:p>
            <w:pPr>
              <w:pStyle w:val="Compact"/>
              <w:jc w:val="left"/>
            </w:pPr>
            <w:r>
              <w:t xml:space="preserve">50 (0.6%)</w:t>
            </w:r>
          </w:p>
        </w:tc>
        <w:tc>
          <w:tcPr/>
          <w:p>
            <w:pPr>
              <w:pStyle w:val="Compact"/>
              <w:jc w:val="left"/>
            </w:pPr>
            <w:r>
              <w:t xml:space="preserve">+0.017</w:t>
            </w:r>
          </w:p>
        </w:tc>
      </w:tr>
      <w:tr>
        <w:tc>
          <w:tcPr/>
          <w:p>
            <w:pPr>
              <w:pStyle w:val="Compact"/>
              <w:jc w:val="left"/>
            </w:pPr>
            <w:r>
              <w:t xml:space="preserve">Language: English only</w:t>
            </w:r>
          </w:p>
        </w:tc>
        <w:tc>
          <w:tcPr/>
          <w:p>
            <w:pPr>
              <w:pStyle w:val="Compact"/>
              <w:jc w:val="left"/>
            </w:pPr>
            <w:r>
              <w:t xml:space="preserve">33,698 (98.9%)</w:t>
            </w:r>
          </w:p>
        </w:tc>
        <w:tc>
          <w:tcPr/>
          <w:p>
            <w:pPr>
              <w:pStyle w:val="Compact"/>
              <w:jc w:val="left"/>
            </w:pPr>
            <w:r>
              <w:t xml:space="preserve">8,425 (98.9%)</w:t>
            </w:r>
          </w:p>
        </w:tc>
        <w:tc>
          <w:tcPr/>
          <w:p>
            <w:pPr>
              <w:pStyle w:val="Compact"/>
              <w:jc w:val="left"/>
            </w:pPr>
            <w:r>
              <w:t xml:space="preserve">-0.000</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r>
      <w:tr>
        <w:tc>
          <w:tcPr/>
          <w:p>
            <w:pPr>
              <w:pStyle w:val="Compact"/>
              <w:jc w:val="left"/>
            </w:pPr>
            <w:r>
              <w:t xml:space="preserve">MDD recurrence: Recurrent</w:t>
            </w:r>
          </w:p>
        </w:tc>
        <w:tc>
          <w:tcPr/>
          <w:p>
            <w:pPr>
              <w:pStyle w:val="Compact"/>
              <w:jc w:val="left"/>
            </w:pPr>
            <w:r>
              <w:t xml:space="preserve">9,036 (26.5%)</w:t>
            </w:r>
          </w:p>
        </w:tc>
        <w:tc>
          <w:tcPr/>
          <w:p>
            <w:pPr>
              <w:pStyle w:val="Compact"/>
              <w:jc w:val="left"/>
            </w:pPr>
            <w:r>
              <w:t xml:space="preserve">2,177 (25.6%)</w:t>
            </w:r>
          </w:p>
        </w:tc>
        <w:tc>
          <w:tcPr/>
          <w:p>
            <w:pPr>
              <w:pStyle w:val="Compact"/>
              <w:jc w:val="left"/>
            </w:pPr>
            <w:r>
              <w:t xml:space="preserve">+0.022</w:t>
            </w:r>
          </w:p>
        </w:tc>
      </w:tr>
      <w:tr>
        <w:tc>
          <w:tcPr/>
          <w:p>
            <w:pPr>
              <w:pStyle w:val="Compact"/>
              <w:jc w:val="left"/>
            </w:pPr>
            <w:r>
              <w:t xml:space="preserve">MDD severity: Severe</w:t>
            </w:r>
          </w:p>
        </w:tc>
        <w:tc>
          <w:tcPr/>
          <w:p>
            <w:pPr>
              <w:pStyle w:val="Compact"/>
              <w:jc w:val="left"/>
            </w:pPr>
            <w:r>
              <w:t xml:space="preserve">1,818 (5.3%)</w:t>
            </w:r>
          </w:p>
        </w:tc>
        <w:tc>
          <w:tcPr/>
          <w:p>
            <w:pPr>
              <w:pStyle w:val="Compact"/>
              <w:jc w:val="left"/>
            </w:pPr>
            <w:r>
              <w:t xml:space="preserve">468 (5.5%)</w:t>
            </w:r>
          </w:p>
        </w:tc>
        <w:tc>
          <w:tcPr/>
          <w:p>
            <w:pPr>
              <w:pStyle w:val="Compact"/>
              <w:jc w:val="left"/>
            </w:pPr>
            <w:r>
              <w:t xml:space="preserve">-0.007</w:t>
            </w:r>
          </w:p>
        </w:tc>
      </w:tr>
      <w:tr>
        <w:tc>
          <w:tcPr/>
          <w:p>
            <w:pPr>
              <w:pStyle w:val="Compact"/>
              <w:jc w:val="left"/>
            </w:pPr>
            <w:r>
              <w:t xml:space="preserve">MDD severity: Moderate</w:t>
            </w:r>
          </w:p>
        </w:tc>
        <w:tc>
          <w:tcPr/>
          <w:p>
            <w:pPr>
              <w:pStyle w:val="Compact"/>
              <w:jc w:val="left"/>
            </w:pPr>
            <w:r>
              <w:t xml:space="preserve">5,807 (17.0%)</w:t>
            </w:r>
          </w:p>
        </w:tc>
        <w:tc>
          <w:tcPr/>
          <w:p>
            <w:pPr>
              <w:pStyle w:val="Compact"/>
              <w:jc w:val="left"/>
            </w:pPr>
            <w:r>
              <w:t xml:space="preserve">1,426 (16.7%)</w:t>
            </w:r>
          </w:p>
        </w:tc>
        <w:tc>
          <w:tcPr/>
          <w:p>
            <w:pPr>
              <w:pStyle w:val="Compact"/>
              <w:jc w:val="left"/>
            </w:pPr>
            <w:r>
              <w:t xml:space="preserve">+0.008</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1,392 (4.1%)</w:t>
            </w:r>
          </w:p>
        </w:tc>
        <w:tc>
          <w:tcPr/>
          <w:p>
            <w:pPr>
              <w:pStyle w:val="Compact"/>
              <w:jc w:val="left"/>
            </w:pPr>
            <w:r>
              <w:t xml:space="preserve">361 (4.2%)</w:t>
            </w:r>
          </w:p>
        </w:tc>
        <w:tc>
          <w:tcPr/>
          <w:p>
            <w:pPr>
              <w:pStyle w:val="Compact"/>
              <w:jc w:val="left"/>
            </w:pPr>
            <w:r>
              <w:t xml:space="preserve">-0.008</w:t>
            </w:r>
          </w:p>
        </w:tc>
      </w:tr>
      <w:tr>
        <w:tc>
          <w:tcPr/>
          <w:p>
            <w:pPr>
              <w:pStyle w:val="Compact"/>
              <w:jc w:val="left"/>
            </w:pPr>
            <w:r>
              <w:t xml:space="preserve">Anxiety disorder</w:t>
            </w:r>
          </w:p>
        </w:tc>
        <w:tc>
          <w:tcPr/>
          <w:p>
            <w:pPr>
              <w:pStyle w:val="Compact"/>
              <w:jc w:val="left"/>
            </w:pPr>
            <w:r>
              <w:t xml:space="preserve">17,975 (52.8%)</w:t>
            </w:r>
          </w:p>
        </w:tc>
        <w:tc>
          <w:tcPr/>
          <w:p>
            <w:pPr>
              <w:pStyle w:val="Compact"/>
              <w:jc w:val="left"/>
            </w:pPr>
            <w:r>
              <w:t xml:space="preserve">4,426 (52.0%)</w:t>
            </w:r>
          </w:p>
        </w:tc>
        <w:tc>
          <w:tcPr/>
          <w:p>
            <w:pPr>
              <w:pStyle w:val="Compact"/>
              <w:jc w:val="left"/>
            </w:pPr>
            <w:r>
              <w:t xml:space="preserve">+0.016</w:t>
            </w:r>
          </w:p>
        </w:tc>
      </w:tr>
      <w:tr>
        <w:tc>
          <w:tcPr/>
          <w:p>
            <w:pPr>
              <w:pStyle w:val="Compact"/>
              <w:jc w:val="left"/>
            </w:pPr>
            <w:r>
              <w:t xml:space="preserve">Substance use disorder (any)</w:t>
            </w:r>
          </w:p>
        </w:tc>
        <w:tc>
          <w:tcPr/>
          <w:p>
            <w:pPr>
              <w:pStyle w:val="Compact"/>
              <w:jc w:val="left"/>
            </w:pPr>
            <w:r>
              <w:t xml:space="preserve">7,472 (21.9%)</w:t>
            </w:r>
          </w:p>
        </w:tc>
        <w:tc>
          <w:tcPr/>
          <w:p>
            <w:pPr>
              <w:pStyle w:val="Compact"/>
              <w:jc w:val="left"/>
            </w:pPr>
            <w:r>
              <w:t xml:space="preserve">1,793 (21.1%)</w:t>
            </w:r>
          </w:p>
        </w:tc>
        <w:tc>
          <w:tcPr/>
          <w:p>
            <w:pPr>
              <w:pStyle w:val="Compact"/>
              <w:jc w:val="left"/>
            </w:pPr>
            <w:r>
              <w:t xml:space="preserve">+0.021</w:t>
            </w:r>
          </w:p>
        </w:tc>
      </w:tr>
      <w:tr>
        <w:tc>
          <w:tcPr/>
          <w:p>
            <w:pPr>
              <w:pStyle w:val="Compact"/>
              <w:jc w:val="left"/>
            </w:pPr>
            <w:r>
              <w:t xml:space="preserve">Insomnia</w:t>
            </w:r>
          </w:p>
        </w:tc>
        <w:tc>
          <w:tcPr/>
          <w:p>
            <w:pPr>
              <w:pStyle w:val="Compact"/>
              <w:jc w:val="left"/>
            </w:pPr>
            <w:r>
              <w:t xml:space="preserve">7,452 (21.9%)</w:t>
            </w:r>
          </w:p>
        </w:tc>
        <w:tc>
          <w:tcPr/>
          <w:p>
            <w:pPr>
              <w:pStyle w:val="Compact"/>
              <w:jc w:val="left"/>
            </w:pPr>
            <w:r>
              <w:t xml:space="preserve">1,898 (22.3%)</w:t>
            </w:r>
          </w:p>
        </w:tc>
        <w:tc>
          <w:tcPr/>
          <w:p>
            <w:pPr>
              <w:pStyle w:val="Compact"/>
              <w:jc w:val="left"/>
            </w:pPr>
            <w:r>
              <w:t xml:space="preserve">-0.010</w:t>
            </w:r>
          </w:p>
        </w:tc>
      </w:tr>
      <w:tr>
        <w:tc>
          <w:tcPr/>
          <w:p>
            <w:pPr>
              <w:pStyle w:val="Compact"/>
              <w:jc w:val="left"/>
            </w:pPr>
            <w:r>
              <w:t xml:space="preserve">PTSD</w:t>
            </w:r>
          </w:p>
        </w:tc>
        <w:tc>
          <w:tcPr/>
          <w:p>
            <w:pPr>
              <w:pStyle w:val="Compact"/>
              <w:jc w:val="left"/>
            </w:pPr>
            <w:r>
              <w:t xml:space="preserve">1,241 (3.6%)</w:t>
            </w:r>
          </w:p>
        </w:tc>
        <w:tc>
          <w:tcPr/>
          <w:p>
            <w:pPr>
              <w:pStyle w:val="Compact"/>
              <w:jc w:val="left"/>
            </w:pPr>
            <w:r>
              <w:t xml:space="preserve">300 (3.5%)</w:t>
            </w:r>
          </w:p>
        </w:tc>
        <w:tc>
          <w:tcPr/>
          <w:p>
            <w:pPr>
              <w:pStyle w:val="Compact"/>
              <w:jc w:val="left"/>
            </w:pPr>
            <w:r>
              <w:t xml:space="preserve">+0.006</w:t>
            </w:r>
          </w:p>
        </w:tc>
      </w:tr>
      <w:tr>
        <w:tc>
          <w:tcPr/>
          <w:p>
            <w:pPr>
              <w:pStyle w:val="Compact"/>
              <w:jc w:val="left"/>
            </w:pPr>
            <w:r>
              <w:t xml:space="preserve">Alcohol use disorder</w:t>
            </w:r>
          </w:p>
        </w:tc>
        <w:tc>
          <w:tcPr/>
          <w:p>
            <w:pPr>
              <w:pStyle w:val="Compact"/>
              <w:jc w:val="left"/>
            </w:pPr>
            <w:r>
              <w:t xml:space="preserve">1,523 (4.5%)</w:t>
            </w:r>
          </w:p>
        </w:tc>
        <w:tc>
          <w:tcPr/>
          <w:p>
            <w:pPr>
              <w:pStyle w:val="Compact"/>
              <w:jc w:val="left"/>
            </w:pPr>
            <w:r>
              <w:t xml:space="preserve">352 (4.1%)</w:t>
            </w:r>
          </w:p>
        </w:tc>
        <w:tc>
          <w:tcPr/>
          <w:p>
            <w:pPr>
              <w:pStyle w:val="Compact"/>
              <w:jc w:val="left"/>
            </w:pPr>
            <w:r>
              <w:t xml:space="preserve">+0.017</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12,591 (37.0%)</w:t>
            </w:r>
          </w:p>
        </w:tc>
        <w:tc>
          <w:tcPr/>
          <w:p>
            <w:pPr>
              <w:pStyle w:val="Compact"/>
              <w:jc w:val="left"/>
            </w:pPr>
            <w:r>
              <w:t xml:space="preserve">3,156 (37.1%)</w:t>
            </w:r>
          </w:p>
        </w:tc>
        <w:tc>
          <w:tcPr/>
          <w:p>
            <w:pPr>
              <w:pStyle w:val="Compact"/>
              <w:jc w:val="left"/>
            </w:pPr>
            <w:r>
              <w:t xml:space="preserve">-0.002</w:t>
            </w:r>
          </w:p>
        </w:tc>
      </w:tr>
      <w:tr>
        <w:tc>
          <w:tcPr/>
          <w:p>
            <w:pPr>
              <w:pStyle w:val="Compact"/>
              <w:jc w:val="left"/>
            </w:pPr>
            <w:r>
              <w:t xml:space="preserve">Uncontrolled hypertension</w:t>
            </w:r>
          </w:p>
        </w:tc>
        <w:tc>
          <w:tcPr/>
          <w:p>
            <w:pPr>
              <w:pStyle w:val="Compact"/>
              <w:jc w:val="left"/>
            </w:pPr>
            <w:r>
              <w:t xml:space="preserve">12,544 (36.8%)</w:t>
            </w:r>
          </w:p>
        </w:tc>
        <w:tc>
          <w:tcPr/>
          <w:p>
            <w:pPr>
              <w:pStyle w:val="Compact"/>
              <w:jc w:val="left"/>
            </w:pPr>
            <w:r>
              <w:t xml:space="preserve">3,136 (36.8%)</w:t>
            </w:r>
          </w:p>
        </w:tc>
        <w:tc>
          <w:tcPr/>
          <w:p>
            <w:pPr>
              <w:pStyle w:val="Compact"/>
              <w:jc w:val="left"/>
            </w:pPr>
            <w:r>
              <w:t xml:space="preserve">+0.000</w:t>
            </w:r>
          </w:p>
        </w:tc>
      </w:tr>
      <w:tr>
        <w:tc>
          <w:tcPr/>
          <w:p>
            <w:pPr>
              <w:pStyle w:val="Compact"/>
              <w:jc w:val="left"/>
            </w:pPr>
            <w:r>
              <w:t xml:space="preserve">Vital signs (narrative only)</w:t>
            </w:r>
          </w:p>
        </w:tc>
        <w:tc>
          <w:tcPr/>
          <w:p>
            <w:pPr>
              <w:pStyle w:val="Compact"/>
            </w:pPr>
          </w:p>
        </w:tc>
        <w:tc>
          <w:tcPr/>
          <w:p>
            <w:pPr>
              <w:pStyle w:val="Compact"/>
            </w:pPr>
          </w:p>
        </w:tc>
        <w:tc>
          <w:tcPr/>
          <w:p>
            <w:pPr>
              <w:pStyle w:val="Compact"/>
            </w:pPr>
          </w:p>
        </w:tc>
      </w:tr>
      <w:tr>
        <w:tc>
          <w:tcPr/>
          <w:p>
            <w:pPr>
              <w:pStyle w:val="Compact"/>
              <w:jc w:val="left"/>
            </w:pPr>
            <w:r>
              <w:t xml:space="preserve">BMI</w:t>
            </w:r>
          </w:p>
        </w:tc>
        <w:tc>
          <w:tcPr/>
          <w:p>
            <w:pPr>
              <w:pStyle w:val="Compact"/>
              <w:jc w:val="left"/>
            </w:pPr>
            <w:r>
              <w:t xml:space="preserve">29 (25-35)</w:t>
            </w:r>
          </w:p>
        </w:tc>
        <w:tc>
          <w:tcPr/>
          <w:p>
            <w:pPr>
              <w:pStyle w:val="Compact"/>
              <w:jc w:val="left"/>
            </w:pPr>
            <w:r>
              <w:t xml:space="preserve">29 (25-35)</w:t>
            </w:r>
          </w:p>
        </w:tc>
        <w:tc>
          <w:tcPr/>
          <w:p>
            <w:pPr>
              <w:pStyle w:val="Compact"/>
              <w:jc w:val="left"/>
            </w:pPr>
            <w:r>
              <w:t xml:space="preserve">-0.013</w:t>
            </w:r>
          </w:p>
        </w:tc>
      </w:tr>
      <w:tr>
        <w:tc>
          <w:tcPr/>
          <w:p>
            <w:pPr>
              <w:pStyle w:val="Compact"/>
              <w:jc w:val="left"/>
            </w:pPr>
            <w:r>
              <w:t xml:space="preserve">Systolic BP</w:t>
            </w:r>
          </w:p>
        </w:tc>
        <w:tc>
          <w:tcPr/>
          <w:p>
            <w:pPr>
              <w:pStyle w:val="Compact"/>
              <w:jc w:val="left"/>
            </w:pPr>
            <w:r>
              <w:t xml:space="preserve">126 (118-136)</w:t>
            </w:r>
          </w:p>
        </w:tc>
        <w:tc>
          <w:tcPr/>
          <w:p>
            <w:pPr>
              <w:pStyle w:val="Compact"/>
              <w:jc w:val="left"/>
            </w:pPr>
            <w:r>
              <w:t xml:space="preserve">126 (118-136)</w:t>
            </w:r>
          </w:p>
        </w:tc>
        <w:tc>
          <w:tcPr/>
          <w:p>
            <w:pPr>
              <w:pStyle w:val="Compact"/>
              <w:jc w:val="left"/>
            </w:pPr>
            <w:r>
              <w:t xml:space="preserve">-0.010</w:t>
            </w:r>
          </w:p>
        </w:tc>
      </w:tr>
      <w:tr>
        <w:tc>
          <w:tcPr/>
          <w:p>
            <w:pPr>
              <w:pStyle w:val="Compact"/>
              <w:jc w:val="left"/>
            </w:pPr>
            <w:r>
              <w:t xml:space="preserve">BMI: not recorded</w:t>
            </w:r>
          </w:p>
        </w:tc>
        <w:tc>
          <w:tcPr/>
          <w:p>
            <w:pPr>
              <w:pStyle w:val="Compact"/>
              <w:jc w:val="left"/>
            </w:pPr>
            <w:r>
              <w:t xml:space="preserve">7,484 (22.0%)</w:t>
            </w:r>
          </w:p>
        </w:tc>
        <w:tc>
          <w:tcPr/>
          <w:p>
            <w:pPr>
              <w:pStyle w:val="Compact"/>
              <w:jc w:val="left"/>
            </w:pPr>
            <w:r>
              <w:t xml:space="preserve">1,911 (22.4%)</w:t>
            </w:r>
          </w:p>
        </w:tc>
        <w:tc>
          <w:tcPr/>
          <w:p>
            <w:pPr>
              <w:pStyle w:val="Compact"/>
              <w:jc w:val="left"/>
            </w:pPr>
            <w:r>
              <w:t xml:space="preserve">-0.011</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+0.008</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20 (8-47)</w:t>
            </w:r>
          </w:p>
        </w:tc>
        <w:tc>
          <w:tcPr/>
          <w:p>
            <w:pPr>
              <w:pStyle w:val="Compact"/>
              <w:jc w:val="left"/>
            </w:pPr>
            <w:r>
              <w:t xml:space="preserve">-0.001</w:t>
            </w:r>
          </w:p>
        </w:tc>
      </w:tr>
      <w:tr>
        <w:tc>
          <w:tcPr/>
          <w:p>
            <w:pPr>
              <w:pStyle w:val="Compact"/>
              <w:jc w:val="left"/>
            </w:pPr>
            <w:r>
              <w:t xml:space="preserve">Pre-index history (days)</w:t>
            </w:r>
          </w:p>
        </w:tc>
        <w:tc>
          <w:tcPr/>
          <w:p>
            <w:pPr>
              <w:pStyle w:val="Compact"/>
              <w:jc w:val="left"/>
            </w:pPr>
            <w:r>
              <w:t xml:space="preserve">1792 (1213-2547)</w:t>
            </w:r>
          </w:p>
        </w:tc>
        <w:tc>
          <w:tcPr/>
          <w:p>
            <w:pPr>
              <w:pStyle w:val="Compact"/>
              <w:jc w:val="left"/>
            </w:pPr>
            <w:r>
              <w:t xml:space="preserve">1797 (1222-2541)</w:t>
            </w:r>
          </w:p>
        </w:tc>
        <w:tc>
          <w:tcPr/>
          <w:p>
            <w:pPr>
              <w:pStyle w:val="Compact"/>
              <w:jc w:val="left"/>
            </w:pPr>
            <w:r>
              <w:t xml:space="preserve">+0.004</w:t>
            </w:r>
          </w:p>
        </w:tc>
      </w:tr>
      <w:tr>
        <w:tc>
          <w:tcPr/>
          <w:p>
            <w:pPr>
              <w:pStyle w:val="Compact"/>
              <w:jc w:val="left"/>
            </w:pPr>
            <w:r>
              <w:t xml:space="preserve">Prior adequate AD trial (any class)</w:t>
            </w:r>
          </w:p>
        </w:tc>
        <w:tc>
          <w:tcPr/>
          <w:p>
            <w:pPr>
              <w:pStyle w:val="Compact"/>
              <w:jc w:val="left"/>
            </w:pPr>
            <w:r>
              <w:t xml:space="preserve">5,014 (14.7%)</w:t>
            </w:r>
          </w:p>
        </w:tc>
        <w:tc>
          <w:tcPr/>
          <w:p>
            <w:pPr>
              <w:pStyle w:val="Compact"/>
              <w:jc w:val="left"/>
            </w:pPr>
            <w:r>
              <w:t xml:space="preserve">1,262 (14.8%)</w:t>
            </w:r>
          </w:p>
        </w:tc>
        <w:tc>
          <w:tcPr/>
          <w:p>
            <w:pPr>
              <w:pStyle w:val="Compact"/>
              <w:jc w:val="left"/>
            </w:pPr>
            <w:r>
              <w:t xml:space="preserve">-0.003</w:t>
            </w:r>
          </w:p>
        </w:tc>
      </w:tr>
      <w:tr>
        <w:tc>
          <w:tcPr/>
          <w:p>
            <w:pPr>
              <w:pStyle w:val="Compact"/>
              <w:jc w:val="left"/>
            </w:pPr>
            <w:r>
              <w:t xml:space="preserve">Benzodiazepine days recorded</w:t>
            </w:r>
          </w:p>
        </w:tc>
        <w:tc>
          <w:tcPr/>
          <w:p>
            <w:pPr>
              <w:pStyle w:val="Compact"/>
              <w:jc w:val="left"/>
            </w:pPr>
            <w:r>
              <w:t xml:space="preserve">3,775 (11.1%)</w:t>
            </w:r>
          </w:p>
        </w:tc>
        <w:tc>
          <w:tcPr/>
          <w:p>
            <w:pPr>
              <w:pStyle w:val="Compact"/>
              <w:jc w:val="left"/>
            </w:pPr>
            <w:r>
              <w:t xml:space="preserve">949 (11.1%)</w:t>
            </w:r>
          </w:p>
        </w:tc>
        <w:tc>
          <w:tcPr/>
          <w:p>
            <w:pPr>
              <w:pStyle w:val="Compact"/>
              <w:jc w:val="left"/>
            </w:pPr>
            <w:r>
              <w:t xml:space="preserve">-0.002</w:t>
            </w:r>
          </w:p>
        </w:tc>
      </w:tr>
      <w:tr>
        <w:tc>
          <w:tcPr/>
          <w:p>
            <w:pPr>
              <w:pStyle w:val="Compact"/>
              <w:jc w:val="left"/>
            </w:pPr>
            <w:r>
              <w:t xml:space="preserve">Hypnotic recorded</w:t>
            </w:r>
          </w:p>
        </w:tc>
        <w:tc>
          <w:tcPr/>
          <w:p>
            <w:pPr>
              <w:pStyle w:val="Compact"/>
              <w:jc w:val="left"/>
            </w:pPr>
            <w:r>
              <w:t xml:space="preserve">1,319 (3.9%)</w:t>
            </w:r>
          </w:p>
        </w:tc>
        <w:tc>
          <w:tcPr/>
          <w:p>
            <w:pPr>
              <w:pStyle w:val="Compact"/>
              <w:jc w:val="left"/>
            </w:pPr>
            <w:r>
              <w:t xml:space="preserve">342 (4.0%)</w:t>
            </w:r>
          </w:p>
        </w:tc>
        <w:tc>
          <w:tcPr/>
          <w:p>
            <w:pPr>
              <w:pStyle w:val="Compact"/>
              <w:jc w:val="left"/>
            </w:pPr>
            <w:r>
              <w:t xml:space="preserve">-0.007</w:t>
            </w:r>
          </w:p>
        </w:tc>
      </w:tr>
      <w:tr>
        <w:tc>
          <w:tcPr/>
          <w:p>
            <w:pPr>
              <w:pStyle w:val="Compact"/>
              <w:jc w:val="left"/>
            </w:pPr>
            <w:r>
              <w:t xml:space="preserve">Augmentation therapy used</w:t>
            </w:r>
          </w:p>
        </w:tc>
        <w:tc>
          <w:tcPr/>
          <w:p>
            <w:pPr>
              <w:pStyle w:val="Compact"/>
              <w:jc w:val="left"/>
            </w:pPr>
            <w:r>
              <w:t xml:space="preserve">326 (1.0%)</w:t>
            </w:r>
          </w:p>
        </w:tc>
        <w:tc>
          <w:tcPr/>
          <w:p>
            <w:pPr>
              <w:pStyle w:val="Compact"/>
              <w:jc w:val="left"/>
            </w:pPr>
            <w:r>
              <w:t xml:space="preserve">96 (1.1%)</w:t>
            </w:r>
          </w:p>
        </w:tc>
        <w:tc>
          <w:tcPr/>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182"/>
    <w:bookmarkStart w:id="190"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183" w:name="s9.1-design"/>
    <w:p>
      <w:pPr>
        <w:pStyle w:val="Heading2"/>
      </w:pPr>
      <w:r>
        <w:t xml:space="preserve">S9.1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Qwen3-Embedding-8B,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(95% CI 98.7–99.1) of held-out patients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labeled</w:t>
      </w:r>
      <w:r>
        <w:t xml:space="preserve"> </w:t>
      </w:r>
      <w:r>
        <w:t xml:space="preserve">“mean risk difference”</w:t>
      </w:r>
      <w:r>
        <w:t xml:space="preserve"> </w:t>
      </w:r>
      <w:r>
        <w:t xml:space="preserve">rather than</w:t>
      </w:r>
      <w:r>
        <w:t xml:space="preserve"> </w:t>
      </w:r>
      <w:r>
        <w:t xml:space="preserve">“calibration-in-the-large”</w:t>
      </w:r>
      <w:r>
        <w:t xml:space="preserve"> </w:t>
      </w:r>
      <w:r>
        <w:t xml:space="preserve">to identify the quantity actually calculated. This is not a logistic calibration intercept. Both differ from the binned-curve parameters in section S3.</w:t>
      </w:r>
    </w:p>
    <w:bookmarkEnd w:id="183"/>
    <w:bookmarkStart w:id="184" w:name="s9.2-sociodemographic-strata"/>
    <w:p>
      <w:pPr>
        <w:pStyle w:val="Heading2"/>
      </w:pPr>
      <w:r>
        <w:t xml:space="preserve">S9.2 Sociodemographic strata</w:t>
      </w:r>
    </w:p>
    <w:p>
      <w:pPr>
        <w:pStyle w:val="FirstParagraph"/>
      </w:pPr>
      <w:r>
        <w:t xml:space="preserve">Table S10 gives discrimination and calibration within each sociodemographic stratum, and Figure S13 plots the discrimination.</w:t>
      </w:r>
    </w:p>
    <w:p>
      <w:pPr>
        <w:pStyle w:val="BodyText"/>
      </w:pPr>
      <w:r>
        <w:t xml:space="preserve">Table S10. Discrimination and calibration by sociodemographic stratum, one representative model per arm (embedded logistic regression, feature-vector XGBoost, and logistic-regression-weighted retrieval at k = 295, the leading model of each), Qwen3-Embedding-8B,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XGB</w:t>
            </w:r>
          </w:p>
        </w:tc>
        <w:tc>
          <w:tcPr/>
          <w:p>
            <w:pPr>
              <w:pStyle w:val="Compact"/>
            </w:pPr>
            <w:r>
              <w:t xml:space="preserve">0.649 (0.634–0.664)</w:t>
            </w:r>
          </w:p>
        </w:tc>
        <w:tc>
          <w:tcPr/>
          <w:p>
            <w:pPr>
              <w:pStyle w:val="Compact"/>
            </w:pPr>
            <w:r>
              <w:t xml:space="preserve">0.138 (0.132–0.143)</w:t>
            </w:r>
          </w:p>
        </w:tc>
        <w:tc>
          <w:tcPr/>
          <w:p>
            <w:pPr>
              <w:pStyle w:val="Compact"/>
            </w:pPr>
            <w:r>
              <w:t xml:space="preserve">1.25 (1.13–1.37)</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XGB</w:t>
            </w:r>
          </w:p>
        </w:tc>
        <w:tc>
          <w:tcPr/>
          <w:p>
            <w:pPr>
              <w:pStyle w:val="Compact"/>
            </w:pPr>
            <w:r>
              <w:t xml:space="preserve">0.654 (0.624–0.683)</w:t>
            </w:r>
          </w:p>
        </w:tc>
        <w:tc>
          <w:tcPr/>
          <w:p>
            <w:pPr>
              <w:pStyle w:val="Compact"/>
            </w:pPr>
            <w:r>
              <w:t xml:space="preserve">0.131 (0.122–0.140)</w:t>
            </w:r>
          </w:p>
        </w:tc>
        <w:tc>
          <w:tcPr/>
          <w:p>
            <w:pPr>
              <w:pStyle w:val="Compact"/>
            </w:pPr>
            <w:r>
              <w:t xml:space="preserve">1.18 (0.96–1.42)</w:t>
            </w:r>
          </w:p>
        </w:tc>
        <w:tc>
          <w:tcPr/>
          <w:p>
            <w:pPr>
              <w:pStyle w:val="Compact"/>
            </w:pPr>
            <w:r>
              <w:t xml:space="preserve">+0.006 (−0.007 to +0.021)</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XGB</w:t>
            </w:r>
          </w:p>
        </w:tc>
        <w:tc>
          <w:tcPr/>
          <w:p>
            <w:pPr>
              <w:pStyle w:val="Compact"/>
            </w:pPr>
            <w:r>
              <w:t xml:space="preserve">0.647 (0.630–0.664)</w:t>
            </w:r>
          </w:p>
        </w:tc>
        <w:tc>
          <w:tcPr/>
          <w:p>
            <w:pPr>
              <w:pStyle w:val="Compact"/>
            </w:pPr>
            <w:r>
              <w:t xml:space="preserve">0.140 (0.134–0.146)</w:t>
            </w:r>
          </w:p>
        </w:tc>
        <w:tc>
          <w:tcPr/>
          <w:p>
            <w:pPr>
              <w:pStyle w:val="Compact"/>
            </w:pPr>
            <w:r>
              <w:t xml:space="preserve">1.27 (1.14–1.42)</w:t>
            </w:r>
          </w:p>
        </w:tc>
        <w:tc>
          <w:tcPr/>
          <w:p>
            <w:pPr>
              <w:pStyle w:val="Compact"/>
            </w:pPr>
            <w:r>
              <w:t xml:space="preserve">−0.002 (−0.011 to +0.007)</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XGB</w:t>
            </w:r>
          </w:p>
        </w:tc>
        <w:tc>
          <w:tcPr/>
          <w:p>
            <w:pPr>
              <w:pStyle w:val="Compact"/>
            </w:pPr>
            <w:r>
              <w:t xml:space="preserve">0.656 (0.639–0.673)</w:t>
            </w:r>
          </w:p>
        </w:tc>
        <w:tc>
          <w:tcPr/>
          <w:p>
            <w:pPr>
              <w:pStyle w:val="Compact"/>
            </w:pPr>
            <w:r>
              <w:t xml:space="preserve">0.136 (0.130–0.141)</w:t>
            </w:r>
          </w:p>
        </w:tc>
        <w:tc>
          <w:tcPr/>
          <w:p>
            <w:pPr>
              <w:pStyle w:val="Compact"/>
            </w:pPr>
            <w:r>
              <w:t xml:space="preserve">1.28 (1.14–1.44)</w:t>
            </w:r>
          </w:p>
        </w:tc>
        <w:tc>
          <w:tcPr/>
          <w:p>
            <w:pPr>
              <w:pStyle w:val="Compact"/>
            </w:pPr>
            <w:r>
              <w:t xml:space="preserve">−0.000 (−0.009 to +0.008)</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XGB</w:t>
            </w:r>
          </w:p>
        </w:tc>
        <w:tc>
          <w:tcPr/>
          <w:p>
            <w:pPr>
              <w:pStyle w:val="Compact"/>
            </w:pPr>
            <w:r>
              <w:t xml:space="preserve">0.616 (0.579–0.650)</w:t>
            </w:r>
          </w:p>
        </w:tc>
        <w:tc>
          <w:tcPr/>
          <w:p>
            <w:pPr>
              <w:pStyle w:val="Compact"/>
            </w:pPr>
            <w:r>
              <w:t xml:space="preserve">0.146 (0.136–0.158)</w:t>
            </w:r>
          </w:p>
        </w:tc>
        <w:tc>
          <w:tcPr/>
          <w:p>
            <w:pPr>
              <w:pStyle w:val="Compact"/>
            </w:pPr>
            <w:r>
              <w:t xml:space="preserve">1.07 (0.75–1.36)</w:t>
            </w:r>
          </w:p>
        </w:tc>
        <w:tc>
          <w:tcPr/>
          <w:p>
            <w:pPr>
              <w:pStyle w:val="Compact"/>
            </w:pPr>
            <w:r>
              <w:t xml:space="preserve">+0.000 (−0.019 to +0.017)</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XGB</w:t>
            </w:r>
          </w:p>
        </w:tc>
        <w:tc>
          <w:tcPr/>
          <w:p>
            <w:pPr>
              <w:pStyle w:val="Compact"/>
            </w:pPr>
            <w:r>
              <w:t xml:space="preserve">0.588 (0.544–0.628)</w:t>
            </w:r>
          </w:p>
        </w:tc>
        <w:tc>
          <w:tcPr/>
          <w:p>
            <w:pPr>
              <w:pStyle w:val="Compact"/>
            </w:pPr>
            <w:r>
              <w:t xml:space="preserve">0.157 (0.144–0.172)</w:t>
            </w:r>
          </w:p>
        </w:tc>
        <w:tc>
          <w:tcPr/>
          <w:p>
            <w:pPr>
              <w:pStyle w:val="Compact"/>
            </w:pPr>
            <w:r>
              <w:t xml:space="preserve">0.96 (0.50–1.39)</w:t>
            </w:r>
          </w:p>
        </w:tc>
        <w:tc>
          <w:tcPr/>
          <w:p>
            <w:pPr>
              <w:pStyle w:val="Compact"/>
            </w:pPr>
            <w:r>
              <w:t xml:space="preserve">+0.001 (−0.025 to +0.024)</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XGB</w:t>
            </w:r>
          </w:p>
        </w:tc>
        <w:tc>
          <w:tcPr/>
          <w:p>
            <w:pPr>
              <w:pStyle w:val="Compact"/>
            </w:pPr>
            <w:r>
              <w:t xml:space="preserve">0.649 (0.617–0.681)</w:t>
            </w:r>
          </w:p>
        </w:tc>
        <w:tc>
          <w:tcPr/>
          <w:p>
            <w:pPr>
              <w:pStyle w:val="Compact"/>
            </w:pPr>
            <w:r>
              <w:t xml:space="preserve">0.154 (0.144–0.166)</w:t>
            </w:r>
          </w:p>
        </w:tc>
        <w:tc>
          <w:tcPr/>
          <w:p>
            <w:pPr>
              <w:pStyle w:val="Compact"/>
            </w:pPr>
            <w:r>
              <w:t xml:space="preserve">1.35 (1.08–1.66)</w:t>
            </w:r>
          </w:p>
        </w:tc>
        <w:tc>
          <w:tcPr/>
          <w:p>
            <w:pPr>
              <w:pStyle w:val="Compact"/>
            </w:pPr>
            <w:r>
              <w:t xml:space="preserve">−0.004 (−0.023 to +0.014)</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XGB</w:t>
            </w:r>
          </w:p>
        </w:tc>
        <w:tc>
          <w:tcPr/>
          <w:p>
            <w:pPr>
              <w:pStyle w:val="Compact"/>
            </w:pPr>
            <w:r>
              <w:t xml:space="preserve">0.642 (0.614–0.671)</w:t>
            </w:r>
          </w:p>
        </w:tc>
        <w:tc>
          <w:tcPr/>
          <w:p>
            <w:pPr>
              <w:pStyle w:val="Compact"/>
            </w:pPr>
            <w:r>
              <w:t xml:space="preserve">0.140 (0.131–0.149)</w:t>
            </w:r>
          </w:p>
        </w:tc>
        <w:tc>
          <w:tcPr/>
          <w:p>
            <w:pPr>
              <w:pStyle w:val="Compact"/>
            </w:pPr>
            <w:r>
              <w:t xml:space="preserve">1.24 (1.01–1.48)</w:t>
            </w:r>
          </w:p>
        </w:tc>
        <w:tc>
          <w:tcPr/>
          <w:p>
            <w:pPr>
              <w:pStyle w:val="Compact"/>
            </w:pPr>
            <w:r>
              <w:t xml:space="preserve">+0.005 (−0.008 to +0.020)</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XGB</w:t>
            </w:r>
          </w:p>
        </w:tc>
        <w:tc>
          <w:tcPr/>
          <w:p>
            <w:pPr>
              <w:pStyle w:val="Compact"/>
            </w:pPr>
            <w:r>
              <w:t xml:space="preserve">0.660 (0.631–0.687)</w:t>
            </w:r>
          </w:p>
        </w:tc>
        <w:tc>
          <w:tcPr/>
          <w:p>
            <w:pPr>
              <w:pStyle w:val="Compact"/>
            </w:pPr>
            <w:r>
              <w:t xml:space="preserve">0.118 (0.109–0.126)</w:t>
            </w:r>
          </w:p>
        </w:tc>
        <w:tc>
          <w:tcPr/>
          <w:p>
            <w:pPr>
              <w:pStyle w:val="Compact"/>
            </w:pPr>
            <w:r>
              <w:t xml:space="preserve">1.42 (1.19–1.66)</w:t>
            </w:r>
          </w:p>
        </w:tc>
        <w:tc>
          <w:tcPr/>
          <w:p>
            <w:pPr>
              <w:pStyle w:val="Compact"/>
            </w:pPr>
            <w:r>
              <w:t xml:space="preserve">−0.002 (−0.015 to +0.011)</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XGB</w:t>
            </w:r>
          </w:p>
        </w:tc>
        <w:tc>
          <w:tcPr/>
          <w:p>
            <w:pPr>
              <w:pStyle w:val="Compact"/>
            </w:pPr>
            <w:r>
              <w:t xml:space="preserve">0.633 (0.590–0.673)</w:t>
            </w:r>
          </w:p>
        </w:tc>
        <w:tc>
          <w:tcPr/>
          <w:p>
            <w:pPr>
              <w:pStyle w:val="Compact"/>
            </w:pPr>
            <w:r>
              <w:t xml:space="preserve">0.175 (0.158–0.193)</w:t>
            </w:r>
          </w:p>
        </w:tc>
        <w:tc>
          <w:tcPr/>
          <w:p>
            <w:pPr>
              <w:pStyle w:val="Compact"/>
            </w:pPr>
            <w:r>
              <w:t xml:space="preserve">1.12 (0.79–1.45)</w:t>
            </w:r>
          </w:p>
        </w:tc>
        <w:tc>
          <w:tcPr/>
          <w:p>
            <w:pPr>
              <w:pStyle w:val="Compact"/>
            </w:pPr>
            <w:r>
              <w:t xml:space="preserve">−0.053 (−0.082 to −0.026)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XGB</w:t>
            </w:r>
          </w:p>
        </w:tc>
        <w:tc>
          <w:tcPr/>
          <w:p>
            <w:pPr>
              <w:pStyle w:val="Compact"/>
            </w:pPr>
            <w:r>
              <w:t xml:space="preserve">0.620 (0.595–0.649)</w:t>
            </w:r>
          </w:p>
        </w:tc>
        <w:tc>
          <w:tcPr/>
          <w:p>
            <w:pPr>
              <w:pStyle w:val="Compact"/>
            </w:pPr>
            <w:r>
              <w:t xml:space="preserve">0.146 (0.137–0.156)</w:t>
            </w:r>
          </w:p>
        </w:tc>
        <w:tc>
          <w:tcPr/>
          <w:p>
            <w:pPr>
              <w:pStyle w:val="Compact"/>
            </w:pPr>
            <w:r>
              <w:t xml:space="preserve">1.12 (0.88–1.37)</w:t>
            </w:r>
          </w:p>
        </w:tc>
        <w:tc>
          <w:tcPr/>
          <w:p>
            <w:pPr>
              <w:pStyle w:val="Compact"/>
            </w:pPr>
            <w:r>
              <w:t xml:space="preserve">+0.011 (−0.005 to +0.026)</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XGB</w:t>
            </w:r>
          </w:p>
        </w:tc>
        <w:tc>
          <w:tcPr/>
          <w:p>
            <w:pPr>
              <w:pStyle w:val="Compact"/>
            </w:pPr>
            <w:r>
              <w:t xml:space="preserve">0.660 (0.639–0.681)</w:t>
            </w:r>
          </w:p>
        </w:tc>
        <w:tc>
          <w:tcPr/>
          <w:p>
            <w:pPr>
              <w:pStyle w:val="Compact"/>
            </w:pPr>
            <w:r>
              <w:t xml:space="preserve">0.130 (0.123–0.136)</w:t>
            </w:r>
          </w:p>
        </w:tc>
        <w:tc>
          <w:tcPr/>
          <w:p>
            <w:pPr>
              <w:pStyle w:val="Compact"/>
            </w:pPr>
            <w:r>
              <w:t xml:space="preserve">1.35 (1.17–1.54)</w:t>
            </w:r>
          </w:p>
        </w:tc>
        <w:tc>
          <w:tcPr/>
          <w:p>
            <w:pPr>
              <w:pStyle w:val="Compact"/>
            </w:pPr>
            <w:r>
              <w:t xml:space="preserve">+0.002 (−0.009 to +0.012)</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XGB</w:t>
            </w:r>
          </w:p>
        </w:tc>
        <w:tc>
          <w:tcPr/>
          <w:p>
            <w:pPr>
              <w:pStyle w:val="Compact"/>
            </w:pPr>
            <w:r>
              <w:t xml:space="preserve">0.609 (0.442–0.764)</w:t>
            </w:r>
          </w:p>
        </w:tc>
        <w:tc>
          <w:tcPr/>
          <w:p>
            <w:pPr>
              <w:pStyle w:val="Compact"/>
            </w:pPr>
            <w:r>
              <w:t xml:space="preserve">0.164 (0.115–0.214)</w:t>
            </w:r>
          </w:p>
        </w:tc>
        <w:tc>
          <w:tcPr/>
          <w:p>
            <w:pPr>
              <w:pStyle w:val="Compact"/>
            </w:pPr>
            <w:r>
              <w:t xml:space="preserve">0.72 (−0.56 to 2.60)</w:t>
            </w:r>
          </w:p>
        </w:tc>
        <w:tc>
          <w:tcPr/>
          <w:p>
            <w:pPr>
              <w:pStyle w:val="Compact"/>
            </w:pPr>
            <w:r>
              <w:t xml:space="preserve">−0.006 (−0.094 to +0.071)</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XGB</w:t>
            </w:r>
          </w:p>
        </w:tc>
        <w:tc>
          <w:tcPr/>
          <w:p>
            <w:pPr>
              <w:pStyle w:val="Compact"/>
            </w:pPr>
            <w:r>
              <w:t xml:space="preserve">0.643 (0.587–0.693)</w:t>
            </w:r>
          </w:p>
        </w:tc>
        <w:tc>
          <w:tcPr/>
          <w:p>
            <w:pPr>
              <w:pStyle w:val="Compact"/>
            </w:pPr>
            <w:r>
              <w:t xml:space="preserve">0.112 (0.097–0.127)</w:t>
            </w:r>
          </w:p>
        </w:tc>
        <w:tc>
          <w:tcPr/>
          <w:p>
            <w:pPr>
              <w:pStyle w:val="Compact"/>
            </w:pPr>
            <w:r>
              <w:t xml:space="preserve">1.31 (0.87–1.74)</w:t>
            </w:r>
          </w:p>
        </w:tc>
        <w:tc>
          <w:tcPr/>
          <w:p>
            <w:pPr>
              <w:pStyle w:val="Compact"/>
            </w:pPr>
            <w:r>
              <w:t xml:space="preserve">+0.017 (−0.004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XGB</w:t>
            </w:r>
          </w:p>
        </w:tc>
        <w:tc>
          <w:tcPr/>
          <w:p>
            <w:pPr>
              <w:pStyle w:val="Compact"/>
            </w:pPr>
            <w:r>
              <w:t xml:space="preserve">0.658 (0.620–0.698)</w:t>
            </w:r>
          </w:p>
        </w:tc>
        <w:tc>
          <w:tcPr/>
          <w:p>
            <w:pPr>
              <w:pStyle w:val="Compact"/>
            </w:pPr>
            <w:r>
              <w:t xml:space="preserve">0.161 (0.146–0.174)</w:t>
            </w:r>
          </w:p>
        </w:tc>
        <w:tc>
          <w:tcPr/>
          <w:p>
            <w:pPr>
              <w:pStyle w:val="Compact"/>
            </w:pPr>
            <w:r>
              <w:t xml:space="preserve">1.25 (0.95–1.58)</w:t>
            </w:r>
          </w:p>
        </w:tc>
        <w:tc>
          <w:tcPr/>
          <w:p>
            <w:pPr>
              <w:pStyle w:val="Compact"/>
            </w:pPr>
            <w:r>
              <w:t xml:space="preserve">−0.014 (−0.037 to +0.010)</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XGB</w:t>
            </w:r>
          </w:p>
        </w:tc>
        <w:tc>
          <w:tcPr/>
          <w:p>
            <w:pPr>
              <w:pStyle w:val="Compact"/>
            </w:pPr>
            <w:r>
              <w:t xml:space="preserve">0.654 (0.627–0.683)</w:t>
            </w:r>
          </w:p>
        </w:tc>
        <w:tc>
          <w:tcPr/>
          <w:p>
            <w:pPr>
              <w:pStyle w:val="Compact"/>
            </w:pPr>
            <w:r>
              <w:t xml:space="preserve">0.138 (0.128–0.147)</w:t>
            </w:r>
          </w:p>
        </w:tc>
        <w:tc>
          <w:tcPr/>
          <w:p>
            <w:pPr>
              <w:pStyle w:val="Compact"/>
            </w:pPr>
            <w:r>
              <w:t xml:space="preserve">1.22 (1.00–1.44)</w:t>
            </w:r>
          </w:p>
        </w:tc>
        <w:tc>
          <w:tcPr/>
          <w:p>
            <w:pPr>
              <w:pStyle w:val="Compact"/>
            </w:pPr>
            <w:r>
              <w:t xml:space="preserve">−0.003 (−0.018 to +0.011)</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XGB</w:t>
            </w:r>
          </w:p>
        </w:tc>
        <w:tc>
          <w:tcPr/>
          <w:p>
            <w:pPr>
              <w:pStyle w:val="Compact"/>
            </w:pPr>
            <w:r>
              <w:t xml:space="preserve">0.639 (0.616–0.660)</w:t>
            </w:r>
          </w:p>
        </w:tc>
        <w:tc>
          <w:tcPr/>
          <w:p>
            <w:pPr>
              <w:pStyle w:val="Compact"/>
            </w:pPr>
            <w:r>
              <w:t xml:space="preserve">0.132 (0.126–0.139)</w:t>
            </w:r>
          </w:p>
        </w:tc>
        <w:tc>
          <w:tcPr/>
          <w:p>
            <w:pPr>
              <w:pStyle w:val="Compact"/>
            </w:pPr>
            <w:r>
              <w:t xml:space="preserve">1.26 (1.06–1.44)</w:t>
            </w:r>
          </w:p>
        </w:tc>
        <w:tc>
          <w:tcPr/>
          <w:p>
            <w:pPr>
              <w:pStyle w:val="Compact"/>
            </w:pPr>
            <w:r>
              <w:t xml:space="preserve">+0.005 (−0.005 to +0.015)</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XGB</w:t>
            </w:r>
          </w:p>
        </w:tc>
        <w:tc>
          <w:tcPr/>
          <w:p>
            <w:pPr>
              <w:pStyle w:val="Compact"/>
            </w:pPr>
            <w:r>
              <w:t xml:space="preserve">0.681 (0.619–0.737)</w:t>
            </w:r>
          </w:p>
        </w:tc>
        <w:tc>
          <w:tcPr/>
          <w:p>
            <w:pPr>
              <w:pStyle w:val="Compact"/>
            </w:pPr>
            <w:r>
              <w:t xml:space="preserve">0.122 (0.105–0.140)</w:t>
            </w:r>
          </w:p>
        </w:tc>
        <w:tc>
          <w:tcPr/>
          <w:p>
            <w:pPr>
              <w:pStyle w:val="Compact"/>
            </w:pPr>
            <w:r>
              <w:t xml:space="preserve">1.52 (1.02–2.07)</w:t>
            </w:r>
          </w:p>
        </w:tc>
        <w:tc>
          <w:tcPr/>
          <w:p>
            <w:pPr>
              <w:pStyle w:val="Compact"/>
            </w:pPr>
            <w:r>
              <w:t xml:space="preserve">+0.011 (−0.018 to +0.036)</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XGB</w:t>
            </w:r>
          </w:p>
        </w:tc>
        <w:tc>
          <w:tcPr/>
          <w:p>
            <w:pPr>
              <w:pStyle w:val="Compact"/>
            </w:pPr>
            <w:r>
              <w:t xml:space="preserve">0.607 (0.556–0.659)</w:t>
            </w:r>
          </w:p>
        </w:tc>
        <w:tc>
          <w:tcPr/>
          <w:p>
            <w:pPr>
              <w:pStyle w:val="Compact"/>
            </w:pPr>
            <w:r>
              <w:t xml:space="preserve">0.151 (0.135–0.169)</w:t>
            </w:r>
          </w:p>
        </w:tc>
        <w:tc>
          <w:tcPr/>
          <w:p>
            <w:pPr>
              <w:pStyle w:val="Compact"/>
            </w:pPr>
            <w:r>
              <w:t xml:space="preserve">0.92 (0.50–1.35)</w:t>
            </w:r>
          </w:p>
        </w:tc>
        <w:tc>
          <w:tcPr/>
          <w:p>
            <w:pPr>
              <w:pStyle w:val="Compact"/>
            </w:pPr>
            <w:r>
              <w:t xml:space="preserve">−0.011 (−0.038 to +0.015)</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XGB</w:t>
            </w:r>
          </w:p>
        </w:tc>
        <w:tc>
          <w:tcPr/>
          <w:p>
            <w:pPr>
              <w:pStyle w:val="Compact"/>
            </w:pPr>
            <w:r>
              <w:t xml:space="preserve">0.662 (0.641–0.682)</w:t>
            </w:r>
          </w:p>
        </w:tc>
        <w:tc>
          <w:tcPr/>
          <w:p>
            <w:pPr>
              <w:pStyle w:val="Compact"/>
            </w:pPr>
            <w:r>
              <w:t xml:space="preserve">0.134 (0.127–0.141)</w:t>
            </w:r>
          </w:p>
        </w:tc>
        <w:tc>
          <w:tcPr/>
          <w:p>
            <w:pPr>
              <w:pStyle w:val="Compact"/>
            </w:pPr>
            <w:r>
              <w:t xml:space="preserve">1.33 (1.16–1.51)</w:t>
            </w:r>
          </w:p>
        </w:tc>
        <w:tc>
          <w:tcPr/>
          <w:p>
            <w:pPr>
              <w:pStyle w:val="Compact"/>
            </w:pPr>
            <w:r>
              <w:t xml:space="preserve">−0.001 (−0.010 to +0.009)</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BodyText"/>
      </w:pPr>
      <w:r>
        <w:t xml:space="preserve">E LR: embedded logistic regression; F XGB: feature-vector XGBoost; N WTD: logistic-regression-weighted nearest-neighbor prediction (k = 295). Events denotes positive TRD proxy outcomes. Mean risk difference is mean predicted probability minus observed frequency.</w:t>
      </w:r>
    </w:p>
    <w:bookmarkEnd w:id="184"/>
    <w:bookmarkStart w:id="185" w:name="s9.3-clinical-strata"/>
    <w:p>
      <w:pPr>
        <w:pStyle w:val="Heading2"/>
      </w:pPr>
      <w:r>
        <w:t xml:space="preserve">S9.3 Clinical strata</w:t>
      </w:r>
    </w:p>
    <w:p>
      <w:pPr>
        <w:pStyle w:val="FirstParagraph"/>
      </w:pPr>
      <w:r>
        <w:t xml:space="preserve">Table S11. Discrimination and calibration by recorded depression phenotype, one representative model per arm (embedded logistic regression, feature-vector XGBoost, and logistic-regression-weighted retrieval at k = 295, the leading model of each), Qwen3-Embedding-8B.</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XGB</w:t>
            </w:r>
          </w:p>
        </w:tc>
        <w:tc>
          <w:tcPr/>
          <w:p>
            <w:pPr>
              <w:pStyle w:val="Compact"/>
            </w:pPr>
            <w:r>
              <w:t xml:space="preserve">0.640 (0.581–0.702)</w:t>
            </w:r>
          </w:p>
        </w:tc>
        <w:tc>
          <w:tcPr/>
          <w:p>
            <w:pPr>
              <w:pStyle w:val="Compact"/>
            </w:pPr>
            <w:r>
              <w:t xml:space="preserve">0.133 (0.115–0.152)</w:t>
            </w:r>
          </w:p>
        </w:tc>
        <w:tc>
          <w:tcPr/>
          <w:p>
            <w:pPr>
              <w:pStyle w:val="Compact"/>
            </w:pPr>
            <w:r>
              <w:t xml:space="preserve">1.34 (0.73–1.97)</w:t>
            </w:r>
          </w:p>
        </w:tc>
        <w:tc>
          <w:tcPr/>
          <w:p>
            <w:pPr>
              <w:pStyle w:val="Compact"/>
            </w:pPr>
            <w:r>
              <w:t xml:space="preserve">−0.007 (−0.036 to +0.020)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XGB</w:t>
            </w:r>
          </w:p>
        </w:tc>
        <w:tc>
          <w:tcPr/>
          <w:p>
            <w:pPr>
              <w:pStyle w:val="Compact"/>
            </w:pPr>
            <w:r>
              <w:t xml:space="preserve">0.655 (0.620–0.691)</w:t>
            </w:r>
          </w:p>
        </w:tc>
        <w:tc>
          <w:tcPr/>
          <w:p>
            <w:pPr>
              <w:pStyle w:val="Compact"/>
            </w:pPr>
            <w:r>
              <w:t xml:space="preserve">0.141 (0.129–0.154)</w:t>
            </w:r>
          </w:p>
        </w:tc>
        <w:tc>
          <w:tcPr/>
          <w:p>
            <w:pPr>
              <w:pStyle w:val="Compact"/>
            </w:pPr>
            <w:r>
              <w:t xml:space="preserve">1.45 (1.10–1.84)</w:t>
            </w:r>
          </w:p>
        </w:tc>
        <w:tc>
          <w:tcPr/>
          <w:p>
            <w:pPr>
              <w:pStyle w:val="Compact"/>
            </w:pPr>
            <w:r>
              <w:t xml:space="preserve">−0.007 (−0.028 to +0.011)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XGB</w:t>
            </w:r>
          </w:p>
        </w:tc>
        <w:tc>
          <w:tcPr/>
          <w:p>
            <w:pPr>
              <w:pStyle w:val="Compact"/>
            </w:pPr>
            <w:r>
              <w:t xml:space="preserve">0.682 (0.621–0.734)</w:t>
            </w:r>
          </w:p>
        </w:tc>
        <w:tc>
          <w:tcPr/>
          <w:p>
            <w:pPr>
              <w:pStyle w:val="Compact"/>
            </w:pPr>
            <w:r>
              <w:t xml:space="preserve">0.188 (0.172–0.204)</w:t>
            </w:r>
          </w:p>
        </w:tc>
        <w:tc>
          <w:tcPr/>
          <w:p>
            <w:pPr>
              <w:pStyle w:val="Compact"/>
            </w:pPr>
            <w:r>
              <w:t xml:space="preserve">1.41 (0.97–1.93)</w:t>
            </w:r>
          </w:p>
        </w:tc>
        <w:tc>
          <w:tcPr/>
          <w:p>
            <w:pPr>
              <w:pStyle w:val="Compact"/>
            </w:pPr>
            <w:r>
              <w:t xml:space="preserve">+0.007 (−0.028 to +0.049)</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XGB</w:t>
            </w:r>
          </w:p>
        </w:tc>
        <w:tc>
          <w:tcPr/>
          <w:p>
            <w:pPr>
              <w:pStyle w:val="Compact"/>
            </w:pPr>
            <w:r>
              <w:t xml:space="preserve">0.635 (0.617–0.654)</w:t>
            </w:r>
          </w:p>
        </w:tc>
        <w:tc>
          <w:tcPr/>
          <w:p>
            <w:pPr>
              <w:pStyle w:val="Compact"/>
            </w:pPr>
            <w:r>
              <w:t xml:space="preserve">0.134 (0.127–0.140)</w:t>
            </w:r>
          </w:p>
        </w:tc>
        <w:tc>
          <w:tcPr/>
          <w:p>
            <w:pPr>
              <w:pStyle w:val="Compact"/>
            </w:pPr>
            <w:r>
              <w:t xml:space="preserve">1.27 (1.10–1.43)</w:t>
            </w:r>
          </w:p>
        </w:tc>
        <w:tc>
          <w:tcPr/>
          <w:p>
            <w:pPr>
              <w:pStyle w:val="Compact"/>
            </w:pPr>
            <w:r>
              <w:t xml:space="preserve">+0.002 (−0.008 to +0.011)</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XGB</w:t>
            </w:r>
          </w:p>
        </w:tc>
        <w:tc>
          <w:tcPr/>
          <w:p>
            <w:pPr>
              <w:pStyle w:val="Compact"/>
            </w:pPr>
            <w:r>
              <w:t xml:space="preserve">0.650 (0.593–0.707)</w:t>
            </w:r>
          </w:p>
        </w:tc>
        <w:tc>
          <w:tcPr/>
          <w:p>
            <w:pPr>
              <w:pStyle w:val="Compact"/>
            </w:pPr>
            <w:r>
              <w:t xml:space="preserve">0.134 (0.116–0.153)</w:t>
            </w:r>
          </w:p>
        </w:tc>
        <w:tc>
          <w:tcPr/>
          <w:p>
            <w:pPr>
              <w:pStyle w:val="Compact"/>
            </w:pPr>
            <w:r>
              <w:t xml:space="preserve">1.39 (0.82–2.01)</w:t>
            </w:r>
          </w:p>
        </w:tc>
        <w:tc>
          <w:tcPr/>
          <w:p>
            <w:pPr>
              <w:pStyle w:val="Compact"/>
            </w:pPr>
            <w:r>
              <w:t xml:space="preserve">+0.012 (−0.019 to +0.040)</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XGB</w:t>
            </w:r>
          </w:p>
        </w:tc>
        <w:tc>
          <w:tcPr/>
          <w:p>
            <w:pPr>
              <w:pStyle w:val="Compact"/>
            </w:pPr>
            <w:r>
              <w:t xml:space="preserve">0.693 (0.665–0.720)</w:t>
            </w:r>
          </w:p>
        </w:tc>
        <w:tc>
          <w:tcPr/>
          <w:p>
            <w:pPr>
              <w:pStyle w:val="Compact"/>
            </w:pPr>
            <w:r>
              <w:t xml:space="preserve">0.146 (0.137–0.156)</w:t>
            </w:r>
          </w:p>
        </w:tc>
        <w:tc>
          <w:tcPr/>
          <w:p>
            <w:pPr>
              <w:pStyle w:val="Compact"/>
            </w:pPr>
            <w:r>
              <w:t xml:space="preserve">1.38 (1.18–1.59)</w:t>
            </w:r>
          </w:p>
        </w:tc>
        <w:tc>
          <w:tcPr/>
          <w:p>
            <w:pPr>
              <w:pStyle w:val="Compact"/>
            </w:pPr>
            <w:r>
              <w:t xml:space="preserve">−0.006 (−0.022 to +0.009)</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XGB</w:t>
            </w:r>
          </w:p>
        </w:tc>
        <w:tc>
          <w:tcPr/>
          <w:p>
            <w:pPr>
              <w:pStyle w:val="Compact"/>
            </w:pPr>
            <w:r>
              <w:t xml:space="preserve">0.627 (0.607–0.647)</w:t>
            </w:r>
          </w:p>
        </w:tc>
        <w:tc>
          <w:tcPr/>
          <w:p>
            <w:pPr>
              <w:pStyle w:val="Compact"/>
            </w:pPr>
            <w:r>
              <w:t xml:space="preserve">0.135 (0.129–0.141)</w:t>
            </w:r>
          </w:p>
        </w:tc>
        <w:tc>
          <w:tcPr/>
          <w:p>
            <w:pPr>
              <w:pStyle w:val="Compact"/>
            </w:pPr>
            <w:r>
              <w:t xml:space="preserve">1.14 (0.97–1.31)</w:t>
            </w:r>
          </w:p>
        </w:tc>
        <w:tc>
          <w:tcPr/>
          <w:p>
            <w:pPr>
              <w:pStyle w:val="Compact"/>
            </w:pPr>
            <w:r>
              <w:t xml:space="preserve">+0.001 (−0.009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BodyText"/>
      </w:pPr>
      <w:r>
        <w:t xml:space="preserve">E LR: embedded logistic regression; F XGB: feature-vector XGBoost; N WTD: logistic-regression-weighted nearest-neighbor prediction (k = 295). Events denotes positive TRD proxy outcomes. Mean risk difference is mean predicted probability minus observed frequency. MDD recurrence: Unspecified is the 32 test patients with no recurrence code recorded; every one of them is also coded Unspecified severity.</w:t>
      </w:r>
    </w:p>
    <w:bookmarkEnd w:id="185"/>
    <w:bookmarkStart w:id="189" w:name="s9.4-adjusted-subgroup-comparisons"/>
    <w:p>
      <w:pPr>
        <w:pStyle w:val="Heading2"/>
      </w:pPr>
      <w:r>
        <w:t xml:space="preserve">S9.4 Adjusted Subgroup Comparisons</w:t>
      </w:r>
    </w:p>
    <w:p>
      <w:pPr>
        <w:pStyle w:val="FirstParagraph"/>
      </w:pPr>
      <w:r>
        <w:t xml:space="preserve">Of 240 contrasts, 58 had unadjusted CIs excluding zero and 23 survived Benjamini–Hochberg adjustment (Table S12; each surviving model is drawn in manuscript Figure 5).</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(95% CI +0.030 to +0.089) to +0.072 (95% CI +0.041 to +0.104)</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(95% CI +0.027 to +0.091) to +0.068 (95% CI +0.037 to +0.100)</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(95% CI +0.022 to +0.085) to +0.060 (95% CI +0.028 to +0.091)</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(95% CI −0.105 to −0.039) to −0.065 (95% CI −0.096 to −0.035)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(95% CI −0.098 to −0.030) to −0.056 (95% CI −0.088 to −0.024)</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(95% CI −0.090 to −0.026) to −0.047 (95% CI −0.079 to −0.014)</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(95% CI −0.090 to −0.019) to −0.051 (95% CI −0.086 to −0.016)</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−0.080 to −0.012)</w:t>
            </w:r>
          </w:p>
        </w:tc>
        <w:tc>
          <w:tcPr/>
          <w:p>
            <w:pPr>
              <w:pStyle w:val="Compact"/>
            </w:pPr>
            <w:r>
              <w:t xml:space="preserve">0.042</w:t>
            </w:r>
          </w:p>
        </w:tc>
      </w:tr>
    </w:tbl>
    <w:p>
      <w:pPr>
        <w:pStyle w:val="BodyText"/>
      </w:pPr>
      <w:r>
        <w:t xml:space="preserve">Ranges run from the smallest to the largest surviving point estimate, each with its own 95% CI; a single-model row shows that model’s estimate and CI. Every surviving contrast’s 95% CI excludes zero.</w:t>
      </w:r>
    </w:p>
    <w:p>
      <w:pPr>
        <w:pStyle w:val="BodyText"/>
      </w:pPr>
      <w:r>
        <w:t xml:space="preserve">All 10 male-minus-female AUC contrasts included zero; the largest absolute difference was +0.012 (95% CI −0.021 to +0.046), for FEATURE gradient boosting. This does not establish equivalent performance.</w:t>
      </w:r>
    </w:p>
    <w:p>
      <w:pPr>
        <w:pStyle w:val="BodyText"/>
      </w:pPr>
      <w:r>
        <w:t xml:space="preserve">All 10 White-minus-non-White AUC contrasts were positive, from +0.005 (95% CI −0.031 to +0.042) to +0.046 (95% CI +0.006 to +0.087); 5 excluded zero before adjustment, but none survived adjustment (minimum adjusted P=.15). For the 2 leading models, calibration slopes in White patients and in patients with other recorded racial categories were 0.97 (95% CI 0.87–1.08) and 0.95 (95% CI 0.74–1.16) for embedded logistic regression, and 1.28 (95% CI 1.14–1.44) and 1.07 (95% CI 0.75–1.36) for feature-vector XGBoost.</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from +0.053 (95% CI +0.022 to +0.085) to +0.072 (95% CI +0.041 to +0.104). Single-episode coding was associated with lower discrimination, from −0.071 (95% CI −0.105 to −0.039) to −0.047 (95% CI −0.079 to −0.014), which survived adjustment in 9. Severe coding did not survive adjustment in either retrieval arm at its best k (plain cosine +0.053, 95% CI −0.008 to +0.104, adjusted P=.26; logistic-regression-weighted +0.064, 95% CI +0.005 to +0.118, adjusted P=.18).</w:t>
      </w:r>
    </w:p>
    <w:p>
      <w:pPr>
        <w:pStyle w:val="BodyText"/>
      </w:pPr>
      <w:r>
        <w:t xml:space="preserve">The remaining 4 adjusted contrasts indicated lower discrimination among never-married patients in 2 EMBEDDED classifiers, from −0.054 (95% CI −0.090 to −0.019) to −0.051 (95% CI −0.086 to −0.016; minimum adjusted P=.015), and in logistic-regression-weighted retrieval, −0.047 (95% CI −0.080 to −0.012; adjusted P=.04), and at ages 18–29 in FEATURE XGBoost, −0.068 (95% CI −0.117 to −0.022; adjusted P=.04). Their causes were not established.</w:t>
      </w:r>
    </w:p>
    <w:p>
      <w:pPr>
        <w:pStyle w:val="BodyText"/>
      </w:pPr>
      <w:r>
        <w:drawing>
          <wp:inline>
            <wp:extent cx="5120640" cy="6903282"/>
            <wp:effectExtent b="0" l="0" r="0" t="0"/>
            <wp:docPr descr="" title="" id="187" name="Picture"/>
            <a:graphic>
              <a:graphicData uri="http://schemas.openxmlformats.org/drawingml/2006/picture">
                <pic:pic>
                  <pic:nvPicPr>
                    <pic:cNvPr descr="../results/review/subgroups/subgroup_forest.png" id="188" name="Picture"/>
                    <pic:cNvPicPr>
                      <a:picLocks noChangeArrowheads="1" noChangeAspect="1"/>
                    </pic:cNvPicPr>
                  </pic:nvPicPr>
                  <pic:blipFill>
                    <a:blip r:embed="rId186"/>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S13. Subgroup discrimination across sociodemographic strata, one representative model per arm (embedded logistic regression, feature-vector XGBoost, and logistic-regression-weighted retrieval at k = 295, the leading model of each), Qwen3-Embedding-8B, with 95% bootstrap confidence intervals. The dotted line marks chance. Strata declared not estimable are omitted.</w:t>
      </w:r>
    </w:p>
    <w:bookmarkEnd w:id="189"/>
    <w:bookmarkEnd w:id="190"/>
    <w:bookmarkStart w:id="191" w:name="s10-representation-field-crosswalk"/>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Source field</w:t>
            </w:r>
          </w:p>
        </w:tc>
        <w:tc>
          <w:tcPr/>
          <w:p>
            <w:pPr>
              <w:pStyle w:val="Compact"/>
              <w:jc w:val="left"/>
            </w:pPr>
            <w:r>
              <w:rPr>
                <w:b/>
                <w:bCs/>
              </w:rPr>
              <w:t xml:space="preserve">Feature-matrix encoding</w:t>
            </w:r>
          </w:p>
        </w:tc>
        <w:tc>
          <w:tcPr/>
          <w:p>
            <w:pPr>
              <w:pStyle w:val="Compact"/>
              <w:jc w:val="left"/>
            </w:pPr>
            <w:r>
              <w:rPr>
                <w:b/>
                <w:bCs/>
              </w:rPr>
              <w:t xml:space="preserve">Narrative rendering</w:t>
            </w:r>
          </w:p>
        </w:tc>
        <w:tc>
          <w:tcPr/>
          <w:p>
            <w:pPr>
              <w:pStyle w:val="Compact"/>
              <w:jc w:val="left"/>
            </w:pPr>
            <w:r>
              <w:rPr>
                <w:b/>
                <w:bCs/>
              </w:rPr>
              <w:t xml:space="preserve">Missing-value rule</w:t>
            </w:r>
          </w:p>
        </w:tc>
        <w:tc>
          <w:tcPr/>
          <w:p>
            <w:pPr>
              <w:pStyle w:val="Compact"/>
              <w:jc w:val="left"/>
            </w:pPr>
            <w:r>
              <w:rPr>
                <w:b/>
                <w:bCs/>
              </w:rPr>
              <w:t xml:space="preserve">Parity</w:t>
            </w:r>
          </w:p>
        </w:tc>
      </w:tr>
      <w:tr>
        <w:tc>
          <w:tcPr/>
          <w:p>
            <w:pPr>
              <w:pStyle w:val="Compact"/>
              <w:jc w:val="left"/>
            </w:pPr>
            <w:r>
              <w:t xml:space="preserve">MDD recurrence, severity</w:t>
            </w:r>
          </w:p>
        </w:tc>
        <w:tc>
          <w:tcPr/>
          <w:p>
            <w:pPr>
              <w:pStyle w:val="Compact"/>
              <w:jc w:val="left"/>
            </w:pPr>
            <w:r>
              <w:t xml:space="preserve">two categorical columns</w:t>
            </w:r>
          </w:p>
        </w:tc>
        <w:tc>
          <w:tcPr/>
          <w:p>
            <w:pPr>
              <w:pStyle w:val="Compact"/>
              <w:jc w:val="left"/>
            </w:pPr>
            <w:r>
              <w:t xml:space="preserve">Condition: MDD (recurrence, severity)</w:t>
            </w:r>
          </w:p>
        </w:tc>
        <w:tc>
          <w:tcPr/>
          <w:p>
            <w:pPr>
              <w:pStyle w:val="Compact"/>
              <w:jc w:val="left"/>
            </w:pPr>
            <w:r>
              <w:t xml:space="preserve">empty string is a level in both</w:t>
            </w:r>
          </w:p>
        </w:tc>
        <w:tc>
          <w:tcPr/>
          <w:p>
            <w:pPr>
              <w:pStyle w:val="Compact"/>
              <w:jc w:val="left"/>
            </w:pPr>
            <w:r>
              <w:t xml:space="preserve">matched</w:t>
            </w:r>
          </w:p>
        </w:tc>
      </w:tr>
      <w:tr>
        <w:tc>
          <w:tcPr/>
          <w:p>
            <w:pPr>
              <w:pStyle w:val="Compact"/>
              <w:jc w:val="left"/>
            </w:pPr>
            <w:r>
              <w:t xml:space="preserve">Index date</w:t>
            </w:r>
          </w:p>
        </w:tc>
        <w:tc>
          <w:tcPr/>
          <w:p>
            <w:pPr>
              <w:pStyle w:val="Compact"/>
              <w:jc w:val="left"/>
            </w:pPr>
            <w:r>
              <w:t xml:space="preserve">no column</w:t>
            </w:r>
          </w:p>
        </w:tc>
        <w:tc>
          <w:tcPr/>
          <w:p>
            <w:pPr>
              <w:pStyle w:val="Compact"/>
              <w:jc w:val="left"/>
            </w:pPr>
            <w:r>
              <w:t xml:space="preserve">Index date: YYYY-MM-DD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Lookback window width</w:t>
            </w:r>
          </w:p>
        </w:tc>
        <w:tc>
          <w:tcPr/>
          <w:p>
            <w:pPr>
              <w:pStyle w:val="Compact"/>
              <w:jc w:val="left"/>
            </w:pPr>
            <w:r>
              <w:t xml:space="preserve">no column (constant)</w:t>
            </w:r>
          </w:p>
        </w:tc>
        <w:tc>
          <w:tcPr/>
          <w:p>
            <w:pPr>
              <w:pStyle w:val="Compact"/>
              <w:jc w:val="left"/>
            </w:pPr>
            <w:r>
              <w:t xml:space="preserve">Baseline window: −730...0 days</w:t>
            </w:r>
          </w:p>
        </w:tc>
        <w:tc>
          <w:tcPr/>
          <w:p>
            <w:pPr>
              <w:pStyle w:val="Compact"/>
              <w:jc w:val="left"/>
            </w:pPr>
            <w:r>
              <w:t xml:space="preserve">never missing</w:t>
            </w:r>
          </w:p>
        </w:tc>
        <w:tc>
          <w:tcPr/>
          <w:p>
            <w:pPr>
              <w:pStyle w:val="Compact"/>
              <w:jc w:val="left"/>
            </w:pPr>
            <w:r>
              <w:t xml:space="preserve">matched (carries no information)</w:t>
            </w:r>
          </w:p>
        </w:tc>
      </w:tr>
      <w:tr>
        <w:tc>
          <w:tcPr/>
          <w:p>
            <w:pPr>
              <w:pStyle w:val="Compact"/>
              <w:jc w:val="left"/>
            </w:pPr>
            <w:r>
              <w:t xml:space="preserve">MDD-to-index gap</w:t>
            </w:r>
          </w:p>
        </w:tc>
        <w:tc>
          <w:tcPr/>
          <w:p>
            <w:pPr>
              <w:pStyle w:val="Compact"/>
              <w:jc w:val="left"/>
            </w:pPr>
            <w:r>
              <w:t xml:space="preserve">mdd_to_anchor_days, float</w:t>
            </w:r>
          </w:p>
        </w:tc>
        <w:tc>
          <w:tcPr/>
          <w:p>
            <w:pPr>
              <w:pStyle w:val="Compact"/>
              <w:jc w:val="left"/>
            </w:pPr>
            <w:r>
              <w:t xml:space="preserve">MDD-to-anchor gap: N days</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Encounter count in window</w:t>
            </w:r>
          </w:p>
        </w:tc>
        <w:tc>
          <w:tcPr/>
          <w:p>
            <w:pPr>
              <w:pStyle w:val="Compact"/>
              <w:jc w:val="left"/>
            </w:pPr>
            <w:r>
              <w:t xml:space="preserve">num_encounters, float</w:t>
            </w:r>
          </w:p>
        </w:tc>
        <w:tc>
          <w:tcPr/>
          <w:p>
            <w:pPr>
              <w:pStyle w:val="Compact"/>
              <w:jc w:val="left"/>
            </w:pPr>
            <w:r>
              <w:t xml:space="preserve">Encounters in window: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MDD inside lookback window</w:t>
            </w:r>
          </w:p>
        </w:tc>
        <w:tc>
          <w:tcPr/>
          <w:p>
            <w:pPr>
              <w:pStyle w:val="Compact"/>
              <w:jc w:val="left"/>
            </w:pPr>
            <w:r>
              <w:t xml:space="preserve">mdd_within_window, boolean</w:t>
            </w:r>
          </w:p>
        </w:tc>
        <w:tc>
          <w:tcPr/>
          <w:p>
            <w:pPr>
              <w:pStyle w:val="Compact"/>
              <w:jc w:val="left"/>
            </w:pPr>
            <w:r>
              <w:t xml:space="preserve">MDD within window: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Recorded pre-index history length</w:t>
            </w:r>
          </w:p>
        </w:tc>
        <w:tc>
          <w:tcPr/>
          <w:p>
            <w:pPr>
              <w:pStyle w:val="Compact"/>
              <w:jc w:val="left"/>
            </w:pPr>
            <w:r>
              <w:t xml:space="preserve">pre_anchor_history_days, float</w:t>
            </w:r>
          </w:p>
        </w:tc>
        <w:tc>
          <w:tcPr/>
          <w:p>
            <w:pPr>
              <w:pStyle w:val="Compact"/>
              <w:jc w:val="left"/>
            </w:pPr>
            <w:r>
              <w:t xml:space="preserve">not rendered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Age</w:t>
            </w:r>
          </w:p>
        </w:tc>
        <w:tc>
          <w:tcPr/>
          <w:p>
            <w:pPr>
              <w:pStyle w:val="Compact"/>
              <w:jc w:val="left"/>
            </w:pPr>
            <w:r>
              <w:t xml:space="preserve">AgeInYears, float</w:t>
            </w:r>
          </w:p>
        </w:tc>
        <w:tc>
          <w:tcPr/>
          <w:p>
            <w:pPr>
              <w:pStyle w:val="Compact"/>
              <w:jc w:val="left"/>
            </w:pPr>
            <w:r>
              <w:t xml:space="preserve">AgeInYears: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Sex</w:t>
            </w:r>
          </w:p>
        </w:tc>
        <w:tc>
          <w:tcPr/>
          <w:p>
            <w:pPr>
              <w:pStyle w:val="Compact"/>
              <w:jc w:val="left"/>
            </w:pPr>
            <w:r>
              <w:t xml:space="preserve">categorical</w:t>
            </w:r>
          </w:p>
        </w:tc>
        <w:tc>
          <w:tcPr/>
          <w:p>
            <w:pPr>
              <w:pStyle w:val="Compact"/>
              <w:jc w:val="left"/>
            </w:pPr>
            <w:r>
              <w:t xml:space="preserve">Sex: X</w:t>
            </w:r>
          </w:p>
        </w:tc>
        <w:tc>
          <w:tcPr/>
          <w:p>
            <w:pPr>
              <w:pStyle w:val="Compact"/>
              <w:jc w:val="left"/>
            </w:pPr>
            <w:r>
              <w:t xml:space="preserve">absent value becomes its own one-hot level; narrative prints the raw token</w:t>
            </w:r>
          </w:p>
        </w:tc>
        <w:tc>
          <w:tcPr/>
          <w:p>
            <w:pPr>
              <w:pStyle w:val="Compact"/>
              <w:jc w:val="left"/>
            </w:pPr>
            <w:r>
              <w:t xml:space="preserve">matched</w:t>
            </w:r>
          </w:p>
        </w:tc>
      </w:tr>
      <w:tr>
        <w:tc>
          <w:tcPr/>
          <w:p>
            <w:pPr>
              <w:pStyle w:val="Compact"/>
              <w:jc w:val="left"/>
            </w:pPr>
            <w:r>
              <w:t xml:space="preserve">Race / ethnicity</w:t>
            </w:r>
          </w:p>
        </w:tc>
        <w:tc>
          <w:tcPr/>
          <w:p>
            <w:pPr>
              <w:pStyle w:val="Compact"/>
              <w:jc w:val="left"/>
            </w:pPr>
            <w:r>
              <w:t xml:space="preserve">categorical, seven levels</w:t>
            </w:r>
          </w:p>
        </w:tc>
        <w:tc>
          <w:tcPr/>
          <w:p>
            <w:pPr>
              <w:pStyle w:val="Compact"/>
              <w:jc w:val="left"/>
            </w:pPr>
            <w:r>
              <w:t xml:space="preserve">Race_Ethnicity: X</w:t>
            </w:r>
          </w:p>
        </w:tc>
        <w:tc>
          <w:tcPr/>
          <w:p>
            <w:pPr>
              <w:pStyle w:val="Compact"/>
              <w:jc w:val="left"/>
            </w:pPr>
            <w:r>
              <w:t xml:space="preserve">own one-hot level; narrative prints raw token</w:t>
            </w:r>
          </w:p>
        </w:tc>
        <w:tc>
          <w:tcPr/>
          <w:p>
            <w:pPr>
              <w:pStyle w:val="Compact"/>
              <w:jc w:val="left"/>
            </w:pPr>
            <w:r>
              <w:t xml:space="preserve">matched</w:t>
            </w:r>
          </w:p>
        </w:tc>
      </w:tr>
      <w:tr>
        <w:tc>
          <w:tcPr/>
          <w:p>
            <w:pPr>
              <w:pStyle w:val="Compact"/>
              <w:jc w:val="left"/>
            </w:pPr>
            <w:r>
              <w:t xml:space="preserve">Preferred language</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Marital status</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Religion</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Smoking status</w:t>
            </w:r>
          </w:p>
        </w:tc>
        <w:tc>
          <w:tcPr/>
          <w:p>
            <w:pPr>
              <w:pStyle w:val="Compact"/>
              <w:jc w:val="left"/>
            </w:pPr>
            <w:r>
              <w:t xml:space="preserve">categorical, collapsed to three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Sexual orientation</w:t>
            </w:r>
          </w:p>
        </w:tc>
        <w:tc>
          <w:tcPr/>
          <w:p>
            <w:pPr>
              <w:pStyle w:val="Compact"/>
              <w:jc w:val="left"/>
            </w:pPr>
            <w:r>
              <w:t xml:space="preserve">no column</w:t>
            </w:r>
          </w:p>
        </w:tc>
        <w:tc>
          <w:tcPr/>
          <w:p>
            <w:pPr>
              <w:pStyle w:val="Compact"/>
              <w:jc w:val="left"/>
            </w:pPr>
            <w:r>
              <w:t xml:space="preserve">SexualOrientation: X</w:t>
            </w:r>
          </w:p>
        </w:tc>
        <w:tc>
          <w:tcPr/>
          <w:p>
            <w:pPr>
              <w:pStyle w:val="Compact"/>
              <w:jc w:val="left"/>
            </w:pPr>
            <w:r>
              <w:t xml:space="preserve">rendered as the literal token nan when recorded-but-empty</w:t>
            </w:r>
          </w:p>
        </w:tc>
        <w:tc>
          <w:tcPr/>
          <w:p>
            <w:pPr>
              <w:pStyle w:val="Compact"/>
              <w:jc w:val="left"/>
            </w:pPr>
            <w:r>
              <w:t xml:space="preserve">asymmetric</w:t>
            </w:r>
          </w:p>
        </w:tc>
      </w:tr>
      <w:tr>
        <w:tc>
          <w:tcPr/>
          <w:p>
            <w:pPr>
              <w:pStyle w:val="Compact"/>
              <w:jc w:val="left"/>
            </w:pPr>
            <w:r>
              <w:t xml:space="preserve">Social determinants of health</w:t>
            </w:r>
          </w:p>
        </w:tc>
        <w:tc>
          <w:tcPr/>
          <w:p>
            <w:pPr>
              <w:pStyle w:val="Compact"/>
              <w:jc w:val="left"/>
            </w:pPr>
            <w:r>
              <w:t xml:space="preserve">nine boolean columns</w:t>
            </w:r>
          </w:p>
        </w:tc>
        <w:tc>
          <w:tcPr/>
          <w:p>
            <w:pPr>
              <w:pStyle w:val="Compact"/>
              <w:jc w:val="left"/>
            </w:pPr>
            <w:r>
              <w:t xml:space="preserve">SDOH: list of present categories only</w:t>
            </w:r>
          </w:p>
        </w:tc>
        <w:tc>
          <w:tcPr/>
          <w:p>
            <w:pPr>
              <w:pStyle w:val="Compact"/>
              <w:jc w:val="left"/>
            </w:pPr>
            <w:r>
              <w:t xml:space="preserve">absence is an explicit False in the matrix, an omission from the list in the narrative</w:t>
            </w:r>
          </w:p>
        </w:tc>
        <w:tc>
          <w:tcPr/>
          <w:p>
            <w:pPr>
              <w:pStyle w:val="Compact"/>
              <w:jc w:val="left"/>
            </w:pPr>
            <w:r>
              <w:t xml:space="preserve">matched in content</w:t>
            </w:r>
          </w:p>
        </w:tc>
      </w:tr>
      <w:tr>
        <w:tc>
          <w:tcPr/>
          <w:p>
            <w:pPr>
              <w:pStyle w:val="Compact"/>
              <w:jc w:val="left"/>
            </w:pPr>
            <w:r>
              <w:t xml:space="preserve">BMI, systolic BP, diastolic BP</w:t>
            </w:r>
          </w:p>
        </w:tc>
        <w:tc>
          <w:tcPr/>
          <w:p>
            <w:pPr>
              <w:pStyle w:val="Compact"/>
              <w:jc w:val="left"/>
            </w:pPr>
            <w:r>
              <w:t xml:space="preserve">dropped at load</w:t>
            </w:r>
          </w:p>
        </w:tc>
        <w:tc>
          <w:tcPr/>
          <w:p>
            <w:pPr>
              <w:pStyle w:val="Compact"/>
              <w:jc w:val="left"/>
            </w:pPr>
            <w:r>
              <w:t xml:space="preserve">BMI: N | BP (mean): S/D, or Missing</w:t>
            </w:r>
          </w:p>
        </w:tc>
        <w:tc>
          <w:tcPr/>
          <w:p>
            <w:pPr>
              <w:pStyle w:val="Compact"/>
              <w:jc w:val="left"/>
            </w:pPr>
            <w:r>
              <w:t xml:space="preserve">dropped, so no rule; narrative prints Missing</w:t>
            </w:r>
          </w:p>
        </w:tc>
        <w:tc>
          <w:tcPr/>
          <w:p>
            <w:pPr>
              <w:pStyle w:val="Compact"/>
              <w:jc w:val="left"/>
            </w:pPr>
            <w:r>
              <w:t xml:space="preserve">asymmetric</w:t>
            </w:r>
          </w:p>
        </w:tc>
      </w:tr>
      <w:tr>
        <w:tc>
          <w:tcPr/>
          <w:p>
            <w:pPr>
              <w:pStyle w:val="Compact"/>
              <w:jc w:val="left"/>
            </w:pPr>
            <w:r>
              <w:t xml:space="preserve">Psychiatric comorbidity (8 flags)</w:t>
            </w:r>
          </w:p>
        </w:tc>
        <w:tc>
          <w:tcPr/>
          <w:p>
            <w:pPr>
              <w:pStyle w:val="Compact"/>
              <w:jc w:val="left"/>
            </w:pPr>
            <w:r>
              <w:t xml:space="preserve">eight boolean columns</w:t>
            </w:r>
          </w:p>
        </w:tc>
        <w:tc>
          <w:tcPr/>
          <w:p>
            <w:pPr>
              <w:pStyle w:val="Compact"/>
              <w:jc w:val="left"/>
            </w:pPr>
            <w:r>
              <w:t xml:space="preserve">ARM: Present/Absent for all eight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Suicidality flag</w:t>
            </w:r>
          </w:p>
        </w:tc>
        <w:tc>
          <w:tcPr/>
          <w:p>
            <w:pPr>
              <w:pStyle w:val="Compact"/>
              <w:jc w:val="left"/>
            </w:pPr>
            <w:r>
              <w:t xml:space="preserve">boolean</w:t>
            </w:r>
          </w:p>
        </w:tc>
        <w:tc>
          <w:tcPr/>
          <w:p>
            <w:pPr>
              <w:pStyle w:val="Compact"/>
              <w:jc w:val="left"/>
            </w:pPr>
            <w:r>
              <w:t xml:space="preserve">SUICIDE FLAG (2y):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Substance-use specifics (10)</w:t>
            </w:r>
          </w:p>
        </w:tc>
        <w:tc>
          <w:tcPr/>
          <w:p>
            <w:pPr>
              <w:pStyle w:val="Compact"/>
              <w:jc w:val="left"/>
            </w:pPr>
            <w:r>
              <w:t xml:space="preserve">ten boolean columns</w:t>
            </w:r>
          </w:p>
        </w:tc>
        <w:tc>
          <w:tcPr/>
          <w:p>
            <w:pPr>
              <w:pStyle w:val="Compact"/>
              <w:jc w:val="left"/>
            </w:pPr>
            <w:r>
              <w:t xml:space="preserve">names of present substances only</w:t>
            </w:r>
          </w:p>
        </w:tc>
        <w:tc>
          <w:tcPr/>
          <w:p>
            <w:pPr>
              <w:pStyle w:val="Compact"/>
              <w:jc w:val="left"/>
            </w:pPr>
            <w:r>
              <w:t xml:space="preserve">absence explicit in matrix, omitted in narrative</w:t>
            </w:r>
          </w:p>
        </w:tc>
        <w:tc>
          <w:tcPr/>
          <w:p>
            <w:pPr>
              <w:pStyle w:val="Compact"/>
              <w:jc w:val="left"/>
            </w:pPr>
            <w:r>
              <w:t xml:space="preserve">matched in content</w:t>
            </w:r>
          </w:p>
        </w:tc>
      </w:tr>
      <w:tr>
        <w:tc>
          <w:tcPr/>
          <w:p>
            <w:pPr>
              <w:pStyle w:val="Compact"/>
              <w:jc w:val="left"/>
            </w:pPr>
            <w:r>
              <w:t xml:space="preserve">General medical comorbidity (4)</w:t>
            </w:r>
          </w:p>
        </w:tc>
        <w:tc>
          <w:tcPr/>
          <w:p>
            <w:pPr>
              <w:pStyle w:val="Compact"/>
              <w:jc w:val="left"/>
            </w:pPr>
            <w:r>
              <w:t xml:space="preserve">four boolean columns</w:t>
            </w:r>
          </w:p>
        </w:tc>
        <w:tc>
          <w:tcPr/>
          <w:p>
            <w:pPr>
              <w:pStyle w:val="Compact"/>
              <w:jc w:val="left"/>
            </w:pPr>
            <w:r>
              <w:t xml:space="preserve">ARM: Present/Absent for all four</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Prior adequate AD trials</w:t>
            </w:r>
          </w:p>
        </w:tc>
        <w:tc>
          <w:tcPr/>
          <w:p>
            <w:pPr>
              <w:pStyle w:val="Compact"/>
              <w:jc w:val="left"/>
            </w:pPr>
            <w:r>
              <w:t xml:space="preserve">five per-class trial counts</w:t>
            </w:r>
          </w:p>
        </w:tc>
        <w:tc>
          <w:tcPr/>
          <w:p>
            <w:pPr>
              <w:pStyle w:val="Compact"/>
              <w:jc w:val="left"/>
            </w:pPr>
            <w:r>
              <w:t xml:space="preserve">Prior adequate AD trials: CLASS: n for all five</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Benzodiazepine days</w:t>
            </w:r>
          </w:p>
        </w:tc>
        <w:tc>
          <w:tcPr/>
          <w:p>
            <w:pPr>
              <w:pStyle w:val="Compact"/>
              <w:jc w:val="left"/>
            </w:pPr>
            <w:r>
              <w:t xml:space="preserve">benzo_days_coverage, float</w:t>
            </w:r>
          </w:p>
        </w:tc>
        <w:tc>
          <w:tcPr/>
          <w:p>
            <w:pPr>
              <w:pStyle w:val="Compact"/>
              <w:jc w:val="left"/>
            </w:pPr>
            <w:r>
              <w:t xml:space="preserve">Benzodiazepine days (2y):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Hypnotics</w:t>
            </w:r>
          </w:p>
        </w:tc>
        <w:tc>
          <w:tcPr/>
          <w:p>
            <w:pPr>
              <w:pStyle w:val="Compact"/>
              <w:jc w:val="left"/>
            </w:pPr>
            <w:r>
              <w:t xml:space="preserve">hypnotics_burden,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Active medications</w:t>
            </w:r>
          </w:p>
        </w:tc>
        <w:tc>
          <w:tcPr/>
          <w:p>
            <w:pPr>
              <w:pStyle w:val="Compact"/>
              <w:jc w:val="left"/>
            </w:pPr>
            <w:r>
              <w:t xml:space="preserve">polypharmacy_count,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NSAIDs</w:t>
            </w:r>
          </w:p>
        </w:tc>
        <w:tc>
          <w:tcPr/>
          <w:p>
            <w:pPr>
              <w:pStyle w:val="Compact"/>
              <w:jc w:val="left"/>
            </w:pPr>
            <w:r>
              <w:t xml:space="preserve">nsaid_count,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Psychiatric inpatient days, ED visits</w:t>
            </w:r>
          </w:p>
        </w:tc>
        <w:tc>
          <w:tcPr/>
          <w:p>
            <w:pPr>
              <w:pStyle w:val="Compact"/>
              <w:jc w:val="left"/>
            </w:pPr>
            <w:r>
              <w:t xml:space="preserve">two float columns</w:t>
            </w:r>
          </w:p>
        </w:tc>
        <w:tc>
          <w:tcPr/>
          <w:p>
            <w:pPr>
              <w:pStyle w:val="Compact"/>
              <w:jc w:val="left"/>
            </w:pPr>
            <w:r>
              <w:t xml:space="preserve">Psych inpatient days: N | ED psych visits: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Prescribing-safety comorbidity (2)</w:t>
            </w:r>
          </w:p>
        </w:tc>
        <w:tc>
          <w:tcPr/>
          <w:p>
            <w:pPr>
              <w:pStyle w:val="Compact"/>
              <w:jc w:val="left"/>
            </w:pPr>
            <w:r>
              <w:t xml:space="preserve">two boolean columns</w:t>
            </w:r>
          </w:p>
        </w:tc>
        <w:tc>
          <w:tcPr/>
          <w:p>
            <w:pPr>
              <w:pStyle w:val="Compact"/>
              <w:jc w:val="left"/>
            </w:pPr>
            <w:r>
              <w:t xml:space="preserve">ARM: Present/Absent</w:t>
            </w:r>
          </w:p>
        </w:tc>
        <w:tc>
          <w:tcPr/>
          <w:p>
            <w:pPr>
              <w:pStyle w:val="Compact"/>
              <w:jc w:val="left"/>
            </w:pPr>
            <w:r>
              <w:t xml:space="preserve">never missing</w:t>
            </w:r>
          </w:p>
        </w:tc>
        <w:tc>
          <w:tcPr/>
          <w:p>
            <w:pPr>
              <w:pStyle w:val="Compact"/>
              <w:jc w:val="left"/>
            </w:pPr>
            <w:r>
              <w:t xml:space="preserve">matched</w:t>
            </w:r>
          </w:p>
        </w:tc>
      </w:tr>
    </w:tbl>
    <w:p>
      <w:pPr>
        <w:pStyle w:val="BodyText"/>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191"/>
    <w:bookmarkStart w:id="192" w:name="X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(95% CI 17.6–18.4) among female and 16.2% (95% CI 15.6–16.9) among male patients. It declined across age groups: 20.6% (95% CI 19.5–21.7) at 18–29 years (1,135/5,513), 20.3% (95% CI 19.5–21.2) at 30–44 (1,836/9,025), 18.4% (95% CI 17.8–19.1) at 45–64 (2,445/13,268), and 13.8% (95% CI 13.3–14.4) at 65 or older (2,039/14,773). Selected social-determinant strata had higher frequencies: upbringing-related issues, 33.0% (95% CI 27.3–39.3); legal issues, 26.1% (95% CI 18.9–34.8); employment issues, 24.0% (95% CI 17.9–31.4); and family or support-group issues, 22.9% (95% CI 20.0–26.2). Small counts limit these comparisons. Missing race/ethnicity was associated with a frequency of 15.5% (46/297; 95% CI 11.8–20.0), versus 17.5% (95% CI 17.2–17.9)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Characteristic</w:t>
            </w:r>
          </w:p>
        </w:tc>
        <w:tc>
          <w:tcPr/>
          <w:p>
            <w:pPr>
              <w:pStyle w:val="Compact"/>
              <w:jc w:val="left"/>
            </w:pPr>
            <w:r>
              <w:rPr>
                <w:b/>
                <w:bCs/>
              </w:rPr>
              <w:t xml:space="preserve">Level</w:t>
            </w:r>
          </w:p>
        </w:tc>
        <w:tc>
          <w:tcPr/>
          <w:p>
            <w:pPr>
              <w:pStyle w:val="Compact"/>
              <w:jc w:val="left"/>
            </w:pPr>
            <w:r>
              <w:rPr>
                <w:b/>
                <w:bCs/>
              </w:rPr>
              <w:t xml:space="preserve">Overall</w:t>
            </w:r>
          </w:p>
        </w:tc>
        <w:tc>
          <w:tcPr/>
          <w:p>
            <w:pPr>
              <w:pStyle w:val="Compact"/>
              <w:jc w:val="left"/>
            </w:pPr>
            <w:r>
              <w:rPr>
                <w:b/>
                <w:bCs/>
              </w:rPr>
              <w:t xml:space="preserve">TRD+</w:t>
            </w:r>
          </w:p>
        </w:tc>
        <w:tc>
          <w:tcPr/>
          <w:p>
            <w:pPr>
              <w:pStyle w:val="Compact"/>
              <w:jc w:val="left"/>
            </w:pPr>
            <w:r>
              <w:rPr>
                <w:b/>
                <w:bCs/>
              </w:rPr>
              <w:t xml:space="preserve">TRD−</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median (IQR)</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Age band</w:t>
            </w:r>
          </w:p>
        </w:tc>
        <w:tc>
          <w:tcPr/>
          <w:p>
            <w:pPr>
              <w:pStyle w:val="Compact"/>
              <w:jc w:val="left"/>
            </w:pPr>
            <w:r>
              <w:t xml:space="preserve">18–29</w:t>
            </w:r>
          </w:p>
        </w:tc>
        <w:tc>
          <w:tcPr/>
          <w:p>
            <w:pPr>
              <w:pStyle w:val="Compact"/>
              <w:jc w:val="left"/>
            </w:pPr>
            <w:r>
              <w:t xml:space="preserve">5,513 (12.9%)</w:t>
            </w:r>
          </w:p>
        </w:tc>
        <w:tc>
          <w:tcPr/>
          <w:p>
            <w:pPr>
              <w:pStyle w:val="Compact"/>
              <w:jc w:val="left"/>
            </w:pPr>
            <w:r>
              <w:t xml:space="preserve">1,135 (15.2%)</w:t>
            </w:r>
          </w:p>
        </w:tc>
        <w:tc>
          <w:tcPr/>
          <w:p>
            <w:pPr>
              <w:pStyle w:val="Compact"/>
              <w:jc w:val="left"/>
            </w:pPr>
            <w:r>
              <w:t xml:space="preserve">4,378 (12.5%)</w:t>
            </w:r>
          </w:p>
        </w:tc>
        <w:tc>
          <w:tcPr/>
          <w:p>
            <w:pPr>
              <w:pStyle w:val="Compact"/>
              <w:jc w:val="left"/>
            </w:pPr>
            <w:r>
              <w:t xml:space="preserve">0.080</w:t>
            </w:r>
          </w:p>
        </w:tc>
      </w:tr>
      <w:tr>
        <w:tc>
          <w:tcPr/>
          <w:p>
            <w:pPr>
              <w:pStyle w:val="Compact"/>
            </w:pPr>
          </w:p>
        </w:tc>
        <w:tc>
          <w:tcPr/>
          <w:p>
            <w:pPr>
              <w:pStyle w:val="Compact"/>
              <w:jc w:val="left"/>
            </w:pPr>
            <w:r>
              <w:t xml:space="preserve">30–44</w:t>
            </w:r>
          </w:p>
        </w:tc>
        <w:tc>
          <w:tcPr/>
          <w:p>
            <w:pPr>
              <w:pStyle w:val="Compact"/>
              <w:jc w:val="left"/>
            </w:pPr>
            <w:r>
              <w:t xml:space="preserve">9,025 (21.2%)</w:t>
            </w:r>
          </w:p>
        </w:tc>
        <w:tc>
          <w:tcPr/>
          <w:p>
            <w:pPr>
              <w:pStyle w:val="Compact"/>
              <w:jc w:val="left"/>
            </w:pPr>
            <w:r>
              <w:t xml:space="preserve">1,836 (24.6%)</w:t>
            </w:r>
          </w:p>
        </w:tc>
        <w:tc>
          <w:tcPr/>
          <w:p>
            <w:pPr>
              <w:pStyle w:val="Compact"/>
              <w:jc w:val="left"/>
            </w:pPr>
            <w:r>
              <w:t xml:space="preserve">7,189 (20.5%)</w:t>
            </w:r>
          </w:p>
        </w:tc>
        <w:tc>
          <w:tcPr/>
          <w:p>
            <w:pPr>
              <w:pStyle w:val="Compact"/>
              <w:jc w:val="left"/>
            </w:pPr>
            <w:r>
              <w:t xml:space="preserve">0.100</w:t>
            </w:r>
          </w:p>
        </w:tc>
      </w:tr>
      <w:tr>
        <w:tc>
          <w:tcPr/>
          <w:p>
            <w:pPr>
              <w:pStyle w:val="Compact"/>
            </w:pPr>
          </w:p>
        </w:tc>
        <w:tc>
          <w:tcPr/>
          <w:p>
            <w:pPr>
              <w:pStyle w:val="Compact"/>
              <w:jc w:val="left"/>
            </w:pPr>
            <w:r>
              <w:t xml:space="preserve">45–64</w:t>
            </w:r>
          </w:p>
        </w:tc>
        <w:tc>
          <w:tcPr/>
          <w:p>
            <w:pPr>
              <w:pStyle w:val="Compact"/>
              <w:jc w:val="left"/>
            </w:pPr>
            <w:r>
              <w:t xml:space="preserve">13,268 (31.2%)</w:t>
            </w:r>
          </w:p>
        </w:tc>
        <w:tc>
          <w:tcPr/>
          <w:p>
            <w:pPr>
              <w:pStyle w:val="Compact"/>
              <w:jc w:val="left"/>
            </w:pPr>
            <w:r>
              <w:t xml:space="preserve">2,445 (32.8%)</w:t>
            </w:r>
          </w:p>
        </w:tc>
        <w:tc>
          <w:tcPr/>
          <w:p>
            <w:pPr>
              <w:pStyle w:val="Compact"/>
              <w:jc w:val="left"/>
            </w:pPr>
            <w:r>
              <w:t xml:space="preserve">10,823 (30.8%)</w:t>
            </w:r>
          </w:p>
        </w:tc>
        <w:tc>
          <w:tcPr/>
          <w:p>
            <w:pPr>
              <w:pStyle w:val="Compact"/>
              <w:jc w:val="left"/>
            </w:pPr>
            <w:r>
              <w:t xml:space="preserve">0.043</w:t>
            </w:r>
          </w:p>
        </w:tc>
      </w:tr>
      <w:tr>
        <w:tc>
          <w:tcPr/>
          <w:p>
            <w:pPr>
              <w:pStyle w:val="Compact"/>
            </w:pPr>
          </w:p>
        </w:tc>
        <w:tc>
          <w:tcPr/>
          <w:p>
            <w:pPr>
              <w:pStyle w:val="Compact"/>
              <w:jc w:val="left"/>
            </w:pPr>
            <w:r>
              <w:t xml:space="preserve">65+</w:t>
            </w:r>
          </w:p>
        </w:tc>
        <w:tc>
          <w:tcPr/>
          <w:p>
            <w:pPr>
              <w:pStyle w:val="Compact"/>
              <w:jc w:val="left"/>
            </w:pPr>
            <w:r>
              <w:t xml:space="preserve">14,773 (34.7%)</w:t>
            </w:r>
          </w:p>
        </w:tc>
        <w:tc>
          <w:tcPr/>
          <w:p>
            <w:pPr>
              <w:pStyle w:val="Compact"/>
              <w:jc w:val="left"/>
            </w:pPr>
            <w:r>
              <w:t xml:space="preserve">2,039 (27.4%)</w:t>
            </w:r>
          </w:p>
        </w:tc>
        <w:tc>
          <w:tcPr/>
          <w:p>
            <w:pPr>
              <w:pStyle w:val="Compact"/>
              <w:jc w:val="left"/>
            </w:pPr>
            <w:r>
              <w:t xml:space="preserve">12,734 (36.3%)</w:t>
            </w:r>
          </w:p>
        </w:tc>
        <w:tc>
          <w:tcPr/>
          <w:p>
            <w:pPr>
              <w:pStyle w:val="Compact"/>
              <w:jc w:val="left"/>
            </w:pPr>
            <w:r>
              <w:t xml:space="preserve">−0.192</w:t>
            </w:r>
          </w:p>
        </w:tc>
      </w:tr>
      <w:tr>
        <w:tc>
          <w:tcPr/>
          <w:p>
            <w:pPr>
              <w:pStyle w:val="Compact"/>
              <w:jc w:val="left"/>
            </w:pPr>
            <w:r>
              <w:t xml:space="preserve">Sex</w:t>
            </w:r>
          </w:p>
        </w:tc>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Race/ethnicity</w:t>
            </w:r>
          </w:p>
        </w:tc>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pPr>
          </w:p>
        </w:tc>
        <w:tc>
          <w:tcPr/>
          <w:p>
            <w:pPr>
              <w:pStyle w:val="Compact"/>
              <w:jc w:val="left"/>
            </w:pPr>
            <w:r>
              <w:t xml:space="preserve">Black/African American</w:t>
            </w:r>
          </w:p>
        </w:tc>
        <w:tc>
          <w:tcPr/>
          <w:p>
            <w:pPr>
              <w:pStyle w:val="Compact"/>
              <w:jc w:val="left"/>
            </w:pPr>
            <w:r>
              <w:t xml:space="preserve">2,368 (5.6%)</w:t>
            </w:r>
          </w:p>
        </w:tc>
        <w:tc>
          <w:tcPr/>
          <w:p>
            <w:pPr>
              <w:pStyle w:val="Compact"/>
              <w:jc w:val="left"/>
            </w:pPr>
            <w:r>
              <w:t xml:space="preserve">401 (5.4%)</w:t>
            </w:r>
          </w:p>
        </w:tc>
        <w:tc>
          <w:tcPr/>
          <w:p>
            <w:pPr>
              <w:pStyle w:val="Compact"/>
              <w:jc w:val="left"/>
            </w:pPr>
            <w:r>
              <w:t xml:space="preserve">1,967 (5.6%)</w:t>
            </w:r>
          </w:p>
        </w:tc>
        <w:tc>
          <w:tcPr/>
          <w:p>
            <w:pPr>
              <w:pStyle w:val="Compact"/>
              <w:jc w:val="left"/>
            </w:pPr>
            <w:r>
              <w:t xml:space="preserve">−0.010</w:t>
            </w:r>
          </w:p>
        </w:tc>
      </w:tr>
      <w:tr>
        <w:tc>
          <w:tcPr/>
          <w:p>
            <w:pPr>
              <w:pStyle w:val="Compact"/>
            </w:pPr>
          </w:p>
        </w:tc>
        <w:tc>
          <w:tcPr/>
          <w:p>
            <w:pPr>
              <w:pStyle w:val="Compact"/>
              <w:jc w:val="left"/>
            </w:pPr>
            <w:r>
              <w:t xml:space="preserve">Am. Indian/Alaska Native</w:t>
            </w:r>
          </w:p>
        </w:tc>
        <w:tc>
          <w:tcPr/>
          <w:p>
            <w:pPr>
              <w:pStyle w:val="Compact"/>
              <w:jc w:val="left"/>
            </w:pPr>
            <w:r>
              <w:t xml:space="preserve">2,033 (4.8%)</w:t>
            </w:r>
          </w:p>
        </w:tc>
        <w:tc>
          <w:tcPr/>
          <w:p>
            <w:pPr>
              <w:pStyle w:val="Compact"/>
              <w:jc w:val="left"/>
            </w:pPr>
            <w:r>
              <w:t xml:space="preserve">394 (5.3%)</w:t>
            </w:r>
          </w:p>
        </w:tc>
        <w:tc>
          <w:tcPr/>
          <w:p>
            <w:pPr>
              <w:pStyle w:val="Compact"/>
              <w:jc w:val="left"/>
            </w:pPr>
            <w:r>
              <w:t xml:space="preserve">1,639 (4.7%)</w:t>
            </w:r>
          </w:p>
        </w:tc>
        <w:tc>
          <w:tcPr/>
          <w:p>
            <w:pPr>
              <w:pStyle w:val="Compact"/>
              <w:jc w:val="left"/>
            </w:pPr>
            <w:r>
              <w:t xml:space="preserve">0.028</w:t>
            </w:r>
          </w:p>
        </w:tc>
      </w:tr>
      <w:tr>
        <w:tc>
          <w:tcPr/>
          <w:p>
            <w:pPr>
              <w:pStyle w:val="Compact"/>
            </w:pPr>
          </w:p>
        </w:tc>
        <w:tc>
          <w:tcPr/>
          <w:p>
            <w:pPr>
              <w:pStyle w:val="Compact"/>
              <w:jc w:val="left"/>
            </w:pPr>
            <w:r>
              <w:t xml:space="preserve">Missing</w:t>
            </w:r>
          </w:p>
        </w:tc>
        <w:tc>
          <w:tcPr/>
          <w:p>
            <w:pPr>
              <w:pStyle w:val="Compact"/>
              <w:jc w:val="left"/>
            </w:pPr>
            <w:r>
              <w:t xml:space="preserve">297 (0.7%)</w:t>
            </w:r>
          </w:p>
        </w:tc>
        <w:tc>
          <w:tcPr/>
          <w:p>
            <w:pPr>
              <w:pStyle w:val="Compact"/>
              <w:jc w:val="left"/>
            </w:pPr>
            <w:r>
              <w:t xml:space="preserve">46 (0.6%)</w:t>
            </w:r>
          </w:p>
        </w:tc>
        <w:tc>
          <w:tcPr/>
          <w:p>
            <w:pPr>
              <w:pStyle w:val="Compact"/>
              <w:jc w:val="left"/>
            </w:pPr>
            <w:r>
              <w:t xml:space="preserve">251 (0.7%)</w:t>
            </w:r>
          </w:p>
        </w:tc>
        <w:tc>
          <w:tcPr/>
          <w:p>
            <w:pPr>
              <w:pStyle w:val="Compact"/>
              <w:jc w:val="left"/>
            </w:pPr>
            <w:r>
              <w:t xml:space="preserve">−0.012</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MDD recurrence</w:t>
            </w:r>
          </w:p>
        </w:tc>
        <w:tc>
          <w:tcPr/>
          <w:p>
            <w:pPr>
              <w:pStyle w:val="Compact"/>
              <w:jc w:val="left"/>
            </w:pPr>
            <w:r>
              <w:t xml:space="preserve">Recurrent</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pPr>
          </w:p>
        </w:tc>
        <w:tc>
          <w:tcPr/>
          <w:p>
            <w:pPr>
              <w:pStyle w:val="Compact"/>
              <w:jc w:val="left"/>
            </w:pPr>
            <w:r>
              <w:t xml:space="preserve">Single episode</w:t>
            </w:r>
          </w:p>
        </w:tc>
        <w:tc>
          <w:tcPr/>
          <w:p>
            <w:pPr>
              <w:pStyle w:val="Compact"/>
              <w:jc w:val="left"/>
            </w:pPr>
            <w:r>
              <w:t xml:space="preserve">28,206 (66.2%)</w:t>
            </w:r>
          </w:p>
        </w:tc>
        <w:tc>
          <w:tcPr/>
          <w:p>
            <w:pPr>
              <w:pStyle w:val="Compact"/>
              <w:jc w:val="left"/>
            </w:pPr>
            <w:r>
              <w:t xml:space="preserve">4,721 (63.3%)</w:t>
            </w:r>
          </w:p>
        </w:tc>
        <w:tc>
          <w:tcPr/>
          <w:p>
            <w:pPr>
              <w:pStyle w:val="Compact"/>
              <w:jc w:val="left"/>
            </w:pPr>
            <w:r>
              <w:t xml:space="preserve">23,485 (66.9%)</w:t>
            </w:r>
          </w:p>
        </w:tc>
        <w:tc>
          <w:tcPr/>
          <w:p>
            <w:pPr>
              <w:pStyle w:val="Compact"/>
              <w:jc w:val="left"/>
            </w:pPr>
            <w:r>
              <w:t xml:space="preserve">−0.074</w:t>
            </w:r>
          </w:p>
        </w:tc>
      </w:tr>
      <w:tr>
        <w:tc>
          <w:tcPr/>
          <w:p>
            <w:pPr>
              <w:pStyle w:val="Compact"/>
              <w:jc w:val="left"/>
            </w:pPr>
            <w:r>
              <w:t xml:space="preserve">MDD severity</w:t>
            </w:r>
          </w:p>
        </w:tc>
        <w:tc>
          <w:tcPr/>
          <w:p>
            <w:pPr>
              <w:pStyle w:val="Compact"/>
              <w:jc w:val="left"/>
            </w:pPr>
            <w:r>
              <w:t xml:space="preserve">Severe</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pPr>
          </w:p>
        </w:tc>
        <w:tc>
          <w:tcPr/>
          <w:p>
            <w:pPr>
              <w:pStyle w:val="Compact"/>
              <w:jc w:val="left"/>
            </w:pPr>
            <w:r>
              <w:t xml:space="preserve">Moderate</w:t>
            </w:r>
          </w:p>
        </w:tc>
        <w:tc>
          <w:tcPr/>
          <w:p>
            <w:pPr>
              <w:pStyle w:val="Compact"/>
              <w:jc w:val="left"/>
            </w:pPr>
            <w:r>
              <w:t xml:space="preserve">7,233 (17.0%)</w:t>
            </w:r>
          </w:p>
        </w:tc>
        <w:tc>
          <w:tcPr/>
          <w:p>
            <w:pPr>
              <w:pStyle w:val="Compact"/>
              <w:jc w:val="left"/>
            </w:pPr>
            <w:r>
              <w:t xml:space="preserve">1,300 (17.4%)</w:t>
            </w:r>
          </w:p>
        </w:tc>
        <w:tc>
          <w:tcPr/>
          <w:p>
            <w:pPr>
              <w:pStyle w:val="Compact"/>
              <w:jc w:val="left"/>
            </w:pPr>
            <w:r>
              <w:t xml:space="preserve">5,933 (16.9%)</w:t>
            </w:r>
          </w:p>
        </w:tc>
        <w:tc>
          <w:tcPr/>
          <w:p>
            <w:pPr>
              <w:pStyle w:val="Compact"/>
              <w:jc w:val="left"/>
            </w:pPr>
            <w:r>
              <w:t xml:space="preserve">0.014</w:t>
            </w:r>
          </w:p>
        </w:tc>
      </w:tr>
      <w:tr>
        <w:tc>
          <w:tcPr/>
          <w:p>
            <w:pPr>
              <w:pStyle w:val="Compact"/>
            </w:pPr>
          </w:p>
        </w:tc>
        <w:tc>
          <w:tcPr/>
          <w:p>
            <w:pPr>
              <w:pStyle w:val="Compact"/>
              <w:jc w:val="left"/>
            </w:pPr>
            <w:r>
              <w:t xml:space="preserve">Psychotic</w:t>
            </w:r>
          </w:p>
        </w:tc>
        <w:tc>
          <w:tcPr/>
          <w:p>
            <w:pPr>
              <w:pStyle w:val="Compact"/>
              <w:jc w:val="left"/>
            </w:pPr>
            <w:r>
              <w:t xml:space="preserve">112 (0.3%)</w:t>
            </w:r>
          </w:p>
        </w:tc>
        <w:tc>
          <w:tcPr/>
          <w:p>
            <w:pPr>
              <w:pStyle w:val="Compact"/>
              <w:jc w:val="left"/>
            </w:pPr>
            <w:r>
              <w:t xml:space="preserve">35 (0.5%)</w:t>
            </w:r>
          </w:p>
        </w:tc>
        <w:tc>
          <w:tcPr/>
          <w:p>
            <w:pPr>
              <w:pStyle w:val="Compact"/>
              <w:jc w:val="left"/>
            </w:pPr>
            <w:r>
              <w:t xml:space="preserve">77 (0.2%)</w:t>
            </w:r>
          </w:p>
        </w:tc>
        <w:tc>
          <w:tcPr/>
          <w:p>
            <w:pPr>
              <w:pStyle w:val="Compact"/>
              <w:jc w:val="left"/>
            </w:pPr>
            <w:r>
              <w:t xml:space="preserve">0.043</w:t>
            </w:r>
          </w:p>
        </w:tc>
      </w:tr>
      <w:tr>
        <w:tc>
          <w:tcPr/>
          <w:p>
            <w:pPr>
              <w:pStyle w:val="Compact"/>
            </w:pPr>
          </w:p>
        </w:tc>
        <w:tc>
          <w:tcPr/>
          <w:p>
            <w:pPr>
              <w:pStyle w:val="Compact"/>
              <w:jc w:val="left"/>
            </w:pPr>
            <w:r>
              <w:t xml:space="preserve">Unspecified</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True</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True</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True</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True</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True</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Alcohol use disorder</w:t>
            </w:r>
          </w:p>
        </w:tc>
        <w:tc>
          <w:tcPr/>
          <w:p>
            <w:pPr>
              <w:pStyle w:val="Compact"/>
              <w:jc w:val="left"/>
            </w:pPr>
            <w:r>
              <w:t xml:space="preserve">True</w:t>
            </w:r>
          </w:p>
        </w:tc>
        <w:tc>
          <w:tcPr/>
          <w:p>
            <w:pPr>
              <w:pStyle w:val="Compact"/>
              <w:jc w:val="left"/>
            </w:pPr>
            <w:r>
              <w:t xml:space="preserve">1,875 (4.4%)</w:t>
            </w:r>
          </w:p>
        </w:tc>
        <w:tc>
          <w:tcPr/>
          <w:p>
            <w:pPr>
              <w:pStyle w:val="Compact"/>
              <w:jc w:val="left"/>
            </w:pPr>
            <w:r>
              <w:t xml:space="preserve">501 (6.7%)</w:t>
            </w:r>
          </w:p>
        </w:tc>
        <w:tc>
          <w:tcPr/>
          <w:p>
            <w:pPr>
              <w:pStyle w:val="Compact"/>
              <w:jc w:val="left"/>
            </w:pPr>
            <w:r>
              <w:t xml:space="preserve">1,374 (3.9%)</w:t>
            </w:r>
          </w:p>
        </w:tc>
        <w:tc>
          <w:tcPr/>
          <w:p>
            <w:pPr>
              <w:pStyle w:val="Compact"/>
              <w:jc w:val="left"/>
            </w:pPr>
            <w:r>
              <w:t xml:space="preserve">0.125</w:t>
            </w:r>
          </w:p>
        </w:tc>
      </w:tr>
      <w:tr>
        <w:tc>
          <w:tcPr/>
          <w:p>
            <w:pPr>
              <w:pStyle w:val="Compact"/>
              <w:jc w:val="left"/>
            </w:pPr>
            <w:r>
              <w:t xml:space="preserve">Opioid use disorder</w:t>
            </w:r>
          </w:p>
        </w:tc>
        <w:tc>
          <w:tcPr/>
          <w:p>
            <w:pPr>
              <w:pStyle w:val="Compact"/>
              <w:jc w:val="left"/>
            </w:pPr>
            <w:r>
              <w:t xml:space="preserve">True</w:t>
            </w:r>
          </w:p>
        </w:tc>
        <w:tc>
          <w:tcPr/>
          <w:p>
            <w:pPr>
              <w:pStyle w:val="Compact"/>
              <w:jc w:val="left"/>
            </w:pPr>
            <w:r>
              <w:t xml:space="preserve">1,281 (3.0%)</w:t>
            </w:r>
          </w:p>
        </w:tc>
        <w:tc>
          <w:tcPr/>
          <w:p>
            <w:pPr>
              <w:pStyle w:val="Compact"/>
              <w:jc w:val="left"/>
            </w:pPr>
            <w:r>
              <w:t xml:space="preserve">337 (4.5%)</w:t>
            </w:r>
          </w:p>
        </w:tc>
        <w:tc>
          <w:tcPr/>
          <w:p>
            <w:pPr>
              <w:pStyle w:val="Compact"/>
              <w:jc w:val="left"/>
            </w:pPr>
            <w:r>
              <w:t xml:space="preserve">944 (2.7%)</w:t>
            </w:r>
          </w:p>
        </w:tc>
        <w:tc>
          <w:tcPr/>
          <w:p>
            <w:pPr>
              <w:pStyle w:val="Compact"/>
              <w:jc w:val="left"/>
            </w:pPr>
            <w:r>
              <w:t xml:space="preserve">0.098</w:t>
            </w:r>
          </w:p>
        </w:tc>
      </w:tr>
      <w:tr>
        <w:tc>
          <w:tcPr/>
          <w:p>
            <w:pPr>
              <w:pStyle w:val="Compact"/>
              <w:jc w:val="left"/>
            </w:pPr>
            <w:r>
              <w:t xml:space="preserve">Adjustment disorder</w:t>
            </w:r>
          </w:p>
        </w:tc>
        <w:tc>
          <w:tcPr/>
          <w:p>
            <w:pPr>
              <w:pStyle w:val="Compact"/>
              <w:jc w:val="left"/>
            </w:pPr>
            <w:r>
              <w:t xml:space="preserve">True</w:t>
            </w:r>
          </w:p>
        </w:tc>
        <w:tc>
          <w:tcPr/>
          <w:p>
            <w:pPr>
              <w:pStyle w:val="Compact"/>
              <w:jc w:val="left"/>
            </w:pPr>
            <w:r>
              <w:t xml:space="preserve">2,918 (6.9%)</w:t>
            </w:r>
          </w:p>
        </w:tc>
        <w:tc>
          <w:tcPr/>
          <w:p>
            <w:pPr>
              <w:pStyle w:val="Compact"/>
              <w:jc w:val="left"/>
            </w:pPr>
            <w:r>
              <w:t xml:space="preserve">663 (8.9%)</w:t>
            </w:r>
          </w:p>
        </w:tc>
        <w:tc>
          <w:tcPr/>
          <w:p>
            <w:pPr>
              <w:pStyle w:val="Compact"/>
              <w:jc w:val="left"/>
            </w:pPr>
            <w:r>
              <w:t xml:space="preserve">2,255 (6.4%)</w:t>
            </w:r>
          </w:p>
        </w:tc>
        <w:tc>
          <w:tcPr/>
          <w:p>
            <w:pPr>
              <w:pStyle w:val="Compact"/>
              <w:jc w:val="left"/>
            </w:pPr>
            <w:r>
              <w:t xml:space="preserve">0.093</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True</w:t>
            </w:r>
          </w:p>
        </w:tc>
        <w:tc>
          <w:tcPr/>
          <w:p>
            <w:pPr>
              <w:pStyle w:val="Compact"/>
              <w:jc w:val="left"/>
            </w:pPr>
            <w:r>
              <w:t xml:space="preserve">15,747 (37.0%)</w:t>
            </w:r>
          </w:p>
        </w:tc>
        <w:tc>
          <w:tcPr/>
          <w:p>
            <w:pPr>
              <w:pStyle w:val="Compact"/>
              <w:jc w:val="left"/>
            </w:pPr>
            <w:r>
              <w:t xml:space="preserve">2,202 (29.5%)</w:t>
            </w:r>
          </w:p>
        </w:tc>
        <w:tc>
          <w:tcPr/>
          <w:p>
            <w:pPr>
              <w:pStyle w:val="Compact"/>
              <w:jc w:val="left"/>
            </w:pPr>
            <w:r>
              <w:t xml:space="preserve">13,545 (38.6%)</w:t>
            </w:r>
          </w:p>
        </w:tc>
        <w:tc>
          <w:tcPr/>
          <w:p>
            <w:pPr>
              <w:pStyle w:val="Compact"/>
              <w:jc w:val="left"/>
            </w:pPr>
            <w:r>
              <w:t xml:space="preserve">−0.191</w:t>
            </w:r>
          </w:p>
        </w:tc>
      </w:tr>
      <w:tr>
        <w:tc>
          <w:tcPr/>
          <w:p>
            <w:pPr>
              <w:pStyle w:val="Compact"/>
              <w:jc w:val="left"/>
            </w:pPr>
            <w:r>
              <w:t xml:space="preserve">Uncontrolled hypertension</w:t>
            </w:r>
          </w:p>
        </w:tc>
        <w:tc>
          <w:tcPr/>
          <w:p>
            <w:pPr>
              <w:pStyle w:val="Compact"/>
              <w:jc w:val="left"/>
            </w:pPr>
            <w:r>
              <w:t xml:space="preserve">True</w:t>
            </w:r>
          </w:p>
        </w:tc>
        <w:tc>
          <w:tcPr/>
          <w:p>
            <w:pPr>
              <w:pStyle w:val="Compact"/>
              <w:jc w:val="left"/>
            </w:pPr>
            <w:r>
              <w:t xml:space="preserve">15,680 (36.8%)</w:t>
            </w:r>
          </w:p>
        </w:tc>
        <w:tc>
          <w:tcPr/>
          <w:p>
            <w:pPr>
              <w:pStyle w:val="Compact"/>
              <w:jc w:val="left"/>
            </w:pPr>
            <w:r>
              <w:t xml:space="preserve">2,366 (31.7%)</w:t>
            </w:r>
          </w:p>
        </w:tc>
        <w:tc>
          <w:tcPr/>
          <w:p>
            <w:pPr>
              <w:pStyle w:val="Compact"/>
              <w:jc w:val="left"/>
            </w:pPr>
            <w:r>
              <w:t xml:space="preserve">13,314 (37.9%)</w:t>
            </w:r>
          </w:p>
        </w:tc>
        <w:tc>
          <w:tcPr/>
          <w:p>
            <w:pPr>
              <w:pStyle w:val="Compact"/>
              <w:jc w:val="left"/>
            </w:pPr>
            <w:r>
              <w:t xml:space="preserve">−0.130</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median (IQR)</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median (IQR)</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median (IQR)</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treatment exposure recorded</w:t>
            </w:r>
          </w:p>
        </w:tc>
        <w:tc>
          <w:tcPr/>
          <w:p>
            <w:pPr>
              <w:pStyle w:val="Compact"/>
              <w:jc w:val="left"/>
            </w:pPr>
            <w:r>
              <w:t xml:space="preserve">True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adequate AD trial (any class)</w:t>
            </w:r>
          </w:p>
        </w:tc>
        <w:tc>
          <w:tcPr/>
          <w:p>
            <w:pPr>
              <w:pStyle w:val="Compact"/>
              <w:jc w:val="left"/>
            </w:pPr>
            <w:r>
              <w:t xml:space="preserve">True</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r>
        <w:tc>
          <w:tcPr/>
          <w:p>
            <w:pPr>
              <w:pStyle w:val="Compact"/>
              <w:jc w:val="left"/>
            </w:pPr>
            <w:r>
              <w:t xml:space="preserve">Benzodiazepine days recorded</w:t>
            </w:r>
          </w:p>
        </w:tc>
        <w:tc>
          <w:tcPr/>
          <w:p>
            <w:pPr>
              <w:pStyle w:val="Compact"/>
              <w:jc w:val="left"/>
            </w:pPr>
            <w:r>
              <w:t xml:space="preserve">True</w:t>
            </w:r>
          </w:p>
        </w:tc>
        <w:tc>
          <w:tcPr/>
          <w:p>
            <w:pPr>
              <w:pStyle w:val="Compact"/>
              <w:jc w:val="left"/>
            </w:pPr>
            <w:r>
              <w:t xml:space="preserve">4,724 (11.1%)</w:t>
            </w:r>
          </w:p>
        </w:tc>
        <w:tc>
          <w:tcPr/>
          <w:p>
            <w:pPr>
              <w:pStyle w:val="Compact"/>
              <w:jc w:val="left"/>
            </w:pPr>
            <w:r>
              <w:t xml:space="preserve">989 (13.3%)</w:t>
            </w:r>
          </w:p>
        </w:tc>
        <w:tc>
          <w:tcPr/>
          <w:p>
            <w:pPr>
              <w:pStyle w:val="Compact"/>
              <w:jc w:val="left"/>
            </w:pPr>
            <w:r>
              <w:t xml:space="preserve">3,735 (10.6%)</w:t>
            </w:r>
          </w:p>
        </w:tc>
        <w:tc>
          <w:tcPr/>
          <w:p>
            <w:pPr>
              <w:pStyle w:val="Compact"/>
              <w:jc w:val="left"/>
            </w:pPr>
            <w:r>
              <w:t xml:space="preserve">0.081</w:t>
            </w:r>
          </w:p>
        </w:tc>
      </w:tr>
      <w:tr>
        <w:tc>
          <w:tcPr/>
          <w:p>
            <w:pPr>
              <w:pStyle w:val="Compact"/>
              <w:jc w:val="left"/>
            </w:pPr>
            <w:r>
              <w:t xml:space="preserve">Hypnotic recorded</w:t>
            </w:r>
          </w:p>
        </w:tc>
        <w:tc>
          <w:tcPr/>
          <w:p>
            <w:pPr>
              <w:pStyle w:val="Compact"/>
              <w:jc w:val="left"/>
            </w:pPr>
            <w:r>
              <w:t xml:space="preserve">True</w:t>
            </w:r>
          </w:p>
        </w:tc>
        <w:tc>
          <w:tcPr/>
          <w:p>
            <w:pPr>
              <w:pStyle w:val="Compact"/>
              <w:jc w:val="left"/>
            </w:pPr>
            <w:r>
              <w:t xml:space="preserve">1,661 (3.9%)</w:t>
            </w:r>
          </w:p>
        </w:tc>
        <w:tc>
          <w:tcPr/>
          <w:p>
            <w:pPr>
              <w:pStyle w:val="Compact"/>
              <w:jc w:val="left"/>
            </w:pPr>
            <w:r>
              <w:t xml:space="preserve">292 (3.9%)</w:t>
            </w:r>
          </w:p>
        </w:tc>
        <w:tc>
          <w:tcPr/>
          <w:p>
            <w:pPr>
              <w:pStyle w:val="Compact"/>
              <w:jc w:val="left"/>
            </w:pPr>
            <w:r>
              <w:t xml:space="preserve">1,369 (3.9%)</w:t>
            </w:r>
          </w:p>
        </w:tc>
        <w:tc>
          <w:tcPr/>
          <w:p>
            <w:pPr>
              <w:pStyle w:val="Compact"/>
              <w:jc w:val="left"/>
            </w:pPr>
            <w:r>
              <w:t xml:space="preserve">0.001</w:t>
            </w:r>
          </w:p>
        </w:tc>
      </w:tr>
      <w:tr>
        <w:tc>
          <w:tcPr/>
          <w:p>
            <w:pPr>
              <w:pStyle w:val="Compact"/>
              <w:jc w:val="left"/>
            </w:pPr>
            <w:r>
              <w:t xml:space="preserve">Augmentation therapy used</w:t>
            </w:r>
          </w:p>
        </w:tc>
        <w:tc>
          <w:tcPr/>
          <w:p>
            <w:pPr>
              <w:pStyle w:val="Compact"/>
              <w:jc w:val="left"/>
            </w:pPr>
            <w:r>
              <w:t xml:space="preserve">True</w:t>
            </w:r>
          </w:p>
        </w:tc>
        <w:tc>
          <w:tcPr/>
          <w:p>
            <w:pPr>
              <w:pStyle w:val="Compact"/>
              <w:jc w:val="left"/>
            </w:pPr>
            <w:r>
              <w:t xml:space="preserve">422 (1.0%)</w:t>
            </w:r>
          </w:p>
        </w:tc>
        <w:tc>
          <w:tcPr/>
          <w:p>
            <w:pPr>
              <w:pStyle w:val="Compact"/>
              <w:jc w:val="left"/>
            </w:pPr>
            <w:r>
              <w:t xml:space="preserve">108 (1.4%)</w:t>
            </w:r>
          </w:p>
        </w:tc>
        <w:tc>
          <w:tcPr/>
          <w:p>
            <w:pPr>
              <w:pStyle w:val="Compact"/>
              <w:jc w:val="left"/>
            </w:pPr>
            <w:r>
              <w:t xml:space="preserve">314 (0.9%)</w:t>
            </w:r>
          </w:p>
        </w:tc>
        <w:tc>
          <w:tcPr/>
          <w:p>
            <w:pPr>
              <w:pStyle w:val="Compact"/>
              <w:jc w:val="left"/>
            </w:pPr>
            <w:r>
              <w:t xml:space="preserve">0.052</w:t>
            </w:r>
          </w:p>
        </w:tc>
      </w:tr>
    </w:tbl>
    <w:bookmarkEnd w:id="192"/>
    <w:bookmarkStart w:id="223" w:name="X3b319a28540a2eebde7c4dc81a578fb022a8db8"/>
    <w:p>
      <w:pPr>
        <w:pStyle w:val="Heading1"/>
      </w:pPr>
      <w:r>
        <w:t xml:space="preserve">S12 Additional Model Diagnostics and Encoder Estimates</w:t>
      </w:r>
    </w:p>
    <w:bookmarkStart w:id="205" w:name="X5b8a779de4102ca75eefec1c07ca7681b858af1"/>
    <w:p>
      <w:pPr>
        <w:pStyle w:val="Heading2"/>
      </w:pPr>
      <w:r>
        <w:t xml:space="preserve">S12.1 Primary ROC Curves and Descriptive Operating Points</w:t>
      </w:r>
    </w:p>
    <w:p>
      <w:pPr>
        <w:pStyle w:val="FirstParagraph"/>
      </w:pPr>
      <w:r>
        <w:t xml:space="preserve">The primary ROC curves are shown in Figure S14. At test-selected Youden J thresholds of 0.165 and 0.173, embedded logistic regression and feature-vector XGBoost had sensitivity 0.647 (95% CI 0.623–0.670) and 0.615 (95% CI 0.591–0.638) and specificity 0.583 (95% CI 0.570–0.594) and 0.606 (95% CI 0.594–0.618). Their F1 scores were 0.36 (95% CI 0.34–0.37) and 0.35 (95% CI 0.34–0.37), positive likelihood ratios 1.55 (95% CI 1.48–1.62) and 1.56 (95% CI 1.48–1.63), and negative likelihood ratios 0.61 (95% CI 0.56–0.65) and 0.64 (95% CI 0.60–0.68). They identified 964 and 917 of 1,491 positive patients, missing 527 and 574, with 2,932 and 2,768 false positives and 4,093 and 4,257 true negatives among 7,025 negative patients, respectively (Figure S15).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94" name="Picture"/>
            <a:graphic>
              <a:graphicData uri="http://schemas.openxmlformats.org/drawingml/2006/picture">
                <pic:pic>
                  <pic:nvPicPr>
                    <pic:cNvPr descr="../results/Qwen-Qwen3-Embedding-8B/google_medgemma-27b-text-it/roc_curves/roc_curve_logistic_regression_EMBEDDED.png" id="195" name="Picture"/>
                    <pic:cNvPicPr>
                      <a:picLocks noChangeArrowheads="1" noChangeAspect="1"/>
                    </pic:cNvPicPr>
                  </pic:nvPicPr>
                  <pic:blipFill>
                    <a:blip r:embed="rId19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97" name="Picture"/>
            <a:graphic>
              <a:graphicData uri="http://schemas.openxmlformats.org/drawingml/2006/picture">
                <pic:pic>
                  <pic:nvPicPr>
                    <pic:cNvPr descr="../results/Qwen-Qwen3-Embedding-8B/google_medgemma-27b-text-it/roc_curves/roc_curve_xgboost_FEATURE.png" id="198" name="Picture"/>
                    <pic:cNvPicPr>
                      <a:picLocks noChangeArrowheads="1" noChangeAspect="1"/>
                    </pic:cNvPicPr>
                  </pic:nvPicPr>
                  <pic:blipFill>
                    <a:blip r:embed="rId19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S14.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200" name="Picture"/>
            <a:graphic>
              <a:graphicData uri="http://schemas.openxmlformats.org/drawingml/2006/picture">
                <pic:pic>
                  <pic:nvPicPr>
                    <pic:cNvPr descr="../results/Qwen-Qwen3-Embedding-8B/google_medgemma-27b-text-it/confusion_matrices/confusion_matrix_logistic_regression_EMBEDDED.png" id="201" name="Picture"/>
                    <pic:cNvPicPr>
                      <a:picLocks noChangeArrowheads="1" noChangeAspect="1"/>
                    </pic:cNvPicPr>
                  </pic:nvPicPr>
                  <pic:blipFill>
                    <a:blip r:embed="rId19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203" name="Picture"/>
            <a:graphic>
              <a:graphicData uri="http://schemas.openxmlformats.org/drawingml/2006/picture">
                <pic:pic>
                  <pic:nvPicPr>
                    <pic:cNvPr descr="../results/Qwen-Qwen3-Embedding-8B/google_medgemma-27b-text-it/confusion_matrices/confusion_matrix_xgboost_FEATURE.png" id="204" name="Picture"/>
                    <pic:cNvPicPr>
                      <a:picLocks noChangeArrowheads="1" noChangeAspect="1"/>
                    </pic:cNvPicPr>
                  </pic:nvPicPr>
                  <pic:blipFill>
                    <a:blip r:embed="rId20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S15. Confusion matrices at test-selected Youden J thresholds for embedded logistic regression (A) and feature-vector XGBoost (B); the panels’ F score is F1. TRD refers to the treatment-switching proxy.</w:t>
      </w:r>
    </w:p>
    <w:bookmarkEnd w:id="205"/>
    <w:bookmarkStart w:id="218" w:name="s12.2-structured-feature-importance"/>
    <w:p>
      <w:pPr>
        <w:pStyle w:val="Heading2"/>
      </w:pPr>
      <w:r>
        <w:t xml:space="preserve">S12.2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S16).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207" name="Picture"/>
            <a:graphic>
              <a:graphicData uri="http://schemas.openxmlformats.org/drawingml/2006/picture">
                <pic:pic>
                  <pic:nvPicPr>
                    <pic:cNvPr descr="../results/Qwen-Qwen3-Embedding-8B/google_medgemma-27b-text-it/feature_importance/feature_importance_logistic_regression.png" id="208" name="Picture"/>
                    <pic:cNvPicPr>
                      <a:picLocks noChangeArrowheads="1" noChangeAspect="1"/>
                    </pic:cNvPicPr>
                  </pic:nvPicPr>
                  <pic:blipFill>
                    <a:blip r:embed="rId206"/>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210" name="Picture"/>
            <a:graphic>
              <a:graphicData uri="http://schemas.openxmlformats.org/drawingml/2006/picture">
                <pic:pic>
                  <pic:nvPicPr>
                    <pic:cNvPr descr="../results/Qwen-Qwen3-Embedding-8B/google_medgemma-27b-text-it/feature_importance/feature_importance_random_forest.png" id="211" name="Picture"/>
                    <pic:cNvPicPr>
                      <a:picLocks noChangeArrowheads="1" noChangeAspect="1"/>
                    </pic:cNvPicPr>
                  </pic:nvPicPr>
                  <pic:blipFill>
                    <a:blip r:embed="rId209"/>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212080" cy="3179368"/>
            <wp:effectExtent b="0" l="0" r="0" t="0"/>
            <wp:docPr descr="" title="" id="213" name="Picture"/>
            <a:graphic>
              <a:graphicData uri="http://schemas.openxmlformats.org/drawingml/2006/picture">
                <pic:pic>
                  <pic:nvPicPr>
                    <pic:cNvPr descr="../results/Qwen-Qwen3-Embedding-8B/google_medgemma-27b-text-it/feature_importance/feature_importance_gradient_boosting.png" id="214" name="Picture"/>
                    <pic:cNvPicPr>
                      <a:picLocks noChangeArrowheads="1" noChangeAspect="1"/>
                    </pic:cNvPicPr>
                  </pic:nvPicPr>
                  <pic:blipFill>
                    <a:blip r:embed="rId21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216" name="Picture"/>
            <a:graphic>
              <a:graphicData uri="http://schemas.openxmlformats.org/drawingml/2006/picture">
                <pic:pic>
                  <pic:nvPicPr>
                    <pic:cNvPr descr="../results/Qwen-Qwen3-Embedding-8B/google_medgemma-27b-text-it/feature_importance/feature_importance_xgboost.png" id="217" name="Picture"/>
                    <pic:cNvPicPr>
                      <a:picLocks noChangeArrowheads="1" noChangeAspect="1"/>
                    </pic:cNvPicPr>
                  </pic:nvPicPr>
                  <pic:blipFill>
                    <a:blip r:embed="rId21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S16. Structured feature importance for logistic regression (A), random forest (B), gradient boosting (C), and XGBoost (D). Logistic-regression bars show coefficient magnitude, with color giving the coefficient’s sign. Tree bars show native importance; colors reflect univariate associations, not conditional model effects or causal directions.</w:t>
      </w:r>
    </w:p>
    <w:bookmarkEnd w:id="218"/>
    <w:bookmarkStart w:id="222" w:name="X9c90e6317a1eb1fb56099f7747be04e13f0dc6a"/>
    <w:p>
      <w:pPr>
        <w:pStyle w:val="Heading2"/>
      </w:pPr>
      <w:r>
        <w:t xml:space="preserve">S12.3 Concept Permutation and Encoder Comparison</w:t>
      </w:r>
    </w:p>
    <w:p>
      <w:pPr>
        <w:pStyle w:val="FirstParagraph"/>
      </w:pPr>
      <w:r>
        <w:t xml:space="preserve">For Qwen3-Embedding-8B,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S17 gives each model’s absolute AUC.</w:t>
      </w:r>
    </w:p>
    <w:p>
      <w:pPr>
        <w:pStyle w:val="BodyText"/>
      </w:pPr>
      <w:r>
        <w:drawing>
          <wp:inline>
            <wp:extent cx="5486400" cy="4059936"/>
            <wp:effectExtent b="0" l="0" r="0" t="0"/>
            <wp:docPr descr="" title="" id="220" name="Picture"/>
            <a:graphic>
              <a:graphicData uri="http://schemas.openxmlformats.org/drawingml/2006/picture">
                <pic:pic>
                  <pic:nvPicPr>
                    <pic:cNvPr descr="../results/Qwen-Qwen3-Embedding-8B/google_medgemma-27b-text-it/ablation_roc_ci_EMBEDDED.png" id="221" name="Picture"/>
                    <pic:cNvPicPr>
                      <a:picLocks noChangeArrowheads="1" noChangeAspect="1"/>
                    </pic:cNvPicPr>
                  </pic:nvPicPr>
                  <pic:blipFill>
                    <a:blip r:embed="rId219"/>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S17.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Encoder</w:t>
            </w:r>
          </w:p>
        </w:tc>
        <w:tc>
          <w:tcPr/>
          <w:p>
            <w:pPr>
              <w:pStyle w:val="Compact"/>
              <w:jc w:val="left"/>
            </w:pPr>
            <w:r>
              <w:rPr>
                <w:b/>
                <w:bCs/>
              </w:rPr>
              <w:t xml:space="preserve">Dimensions</w:t>
            </w:r>
          </w:p>
        </w:tc>
        <w:tc>
          <w:tcPr/>
          <w:p>
            <w:pPr>
              <w:pStyle w:val="Compact"/>
              <w:jc w:val="left"/>
            </w:pPr>
            <w:r>
              <w:rPr>
                <w:b/>
                <w:bCs/>
              </w:rPr>
              <w:t xml:space="preserve">EPV</w:t>
            </w:r>
          </w:p>
        </w:tc>
        <w:tc>
          <w:tcPr/>
          <w:p>
            <w:pPr>
              <w:pStyle w:val="Compact"/>
              <w:jc w:val="left"/>
            </w:pPr>
            <w:r>
              <w:rPr>
                <w:b/>
                <w:bCs/>
              </w:rPr>
              <w:t xml:space="preserve">ROC AUC (95% CI)</w:t>
            </w:r>
          </w:p>
        </w:tc>
      </w:tr>
      <w:tr>
        <w:tc>
          <w:tcPr/>
          <w:p>
            <w:pPr>
              <w:pStyle w:val="Compact"/>
              <w:jc w:val="left"/>
            </w:pPr>
            <w:r>
              <w:t xml:space="preserve">bge-small-en-v1.5</w:t>
            </w:r>
          </w:p>
        </w:tc>
        <w:tc>
          <w:tcPr/>
          <w:p>
            <w:pPr>
              <w:pStyle w:val="Compact"/>
              <w:jc w:val="left"/>
            </w:pPr>
            <w:r>
              <w:t xml:space="preserve">384</w:t>
            </w:r>
          </w:p>
        </w:tc>
        <w:tc>
          <w:tcPr/>
          <w:p>
            <w:pPr>
              <w:pStyle w:val="Compact"/>
              <w:jc w:val="left"/>
            </w:pPr>
            <w:r>
              <w:t xml:space="preserve">15.5</w:t>
            </w:r>
          </w:p>
        </w:tc>
        <w:tc>
          <w:tcPr/>
          <w:p>
            <w:pPr>
              <w:pStyle w:val="Compact"/>
              <w:jc w:val="left"/>
            </w:pPr>
            <w:r>
              <w:t xml:space="preserve">0.645 (0.629–0.660)</w:t>
            </w:r>
          </w:p>
        </w:tc>
      </w:tr>
      <w:tr>
        <w:tc>
          <w:tcPr/>
          <w:p>
            <w:pPr>
              <w:pStyle w:val="Compact"/>
              <w:jc w:val="left"/>
            </w:pPr>
            <w:r>
              <w:t xml:space="preserve">bge-en-icl</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0.655 (0.641–0.670)</w:t>
            </w:r>
          </w:p>
        </w:tc>
      </w:tr>
      <w:tr>
        <w:tc>
          <w:tcPr/>
          <w:p>
            <w:pPr>
              <w:pStyle w:val="Compact"/>
              <w:jc w:val="left"/>
            </w:pPr>
            <w:r>
              <w:t xml:space="preserve">Qwen3-Embedding-4B</w:t>
            </w:r>
          </w:p>
        </w:tc>
        <w:tc>
          <w:tcPr/>
          <w:p>
            <w:pPr>
              <w:pStyle w:val="Compact"/>
              <w:jc w:val="left"/>
            </w:pPr>
            <w:r>
              <w:t xml:space="preserve">2,560</w:t>
            </w:r>
          </w:p>
        </w:tc>
        <w:tc>
          <w:tcPr/>
          <w:p>
            <w:pPr>
              <w:pStyle w:val="Compact"/>
              <w:jc w:val="left"/>
            </w:pPr>
            <w:r>
              <w:t xml:space="preserve">2.3</w:t>
            </w:r>
          </w:p>
        </w:tc>
        <w:tc>
          <w:tcPr/>
          <w:p>
            <w:pPr>
              <w:pStyle w:val="Compact"/>
              <w:jc w:val="left"/>
            </w:pPr>
            <w:r>
              <w:t xml:space="preserve">0.655 (0.641–0.670)</w:t>
            </w:r>
          </w:p>
        </w:tc>
      </w:tr>
      <w:tr>
        <w:tc>
          <w:tcPr/>
          <w:p>
            <w:pPr>
              <w:pStyle w:val="Compact"/>
              <w:jc w:val="left"/>
            </w:pPr>
            <w:r>
              <w:t xml:space="preserve">Qwen3-Embedding-8B</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0.657 (0.643–0.672)</w:t>
            </w:r>
          </w:p>
        </w:tc>
      </w:tr>
    </w:tbl>
    <w:bookmarkEnd w:id="222"/>
    <w:bookmarkEnd w:id="223"/>
    <w:bookmarkStart w:id="224"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bookmarkEnd w:id="224"/>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4" Target="media/rId94.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219" Target="media/rId21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97" Target="media/rId97.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12" Target="media/rId212.png" /><Relationship Type="http://schemas.openxmlformats.org/officeDocument/2006/relationships/image" Id="rId206" Target="media/rId206.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91" Target="media/rId91.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88" Target="media/rId8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69" Target="media/rId169.png" /><Relationship Type="http://schemas.openxmlformats.org/officeDocument/2006/relationships/image" Id="rId178" Target="media/rId178.png" /><Relationship Type="http://schemas.openxmlformats.org/officeDocument/2006/relationships/image" Id="rId186" Target="media/rId1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2026-10-10T14:40:41Z</dcterms:created>
  <dcterms:modified xsi:type="dcterms:W3CDTF">2026-10-10T14:40:41Z</dcterms:modified>
</cp:coreProperties>
</file>

<file path=docProps/custom.xml><?xml version="1.0" encoding="utf-8"?>
<Properties xmlns="http://schemas.openxmlformats.org/officeDocument/2006/custom-properties" xmlns:vt="http://schemas.openxmlformats.org/officeDocument/2006/docPropsVTypes"/>
</file>