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15.png" ContentType="image/png"/>
  <Override PartName="/word/media/rId41.png" ContentType="image/png"/>
  <Override PartName="/word/media/rId3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40b5b020fd3b163194746b13251c26ddcb1f3bb"/>
    <w:p>
      <w:pPr>
        <w:pStyle w:val="Heading1"/>
      </w:pPr>
      <w:r>
        <w:t xml:space="preserve">Title page</w:t>
      </w:r>
    </w:p>
    <w:p>
      <w:pPr>
        <w:pStyle w:val="FirstParagraph"/>
      </w:pPr>
      <w:r>
        <w:rPr>
          <w:b/>
          <w:bCs/>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Rayus Kuplicki, PhD¹; Katherine L. Forthman, MS¹;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9" w:name="_4373836a783208412a1aff48a59a240a1ad8afd"/>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9"/>
    <w:bookmarkStart w:id="10" w:name="_7eec2310df51d7a7ec282d98e9d728fd111ee0d"/>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Rayus Kuplicki 0000-0003-2954-6421</w:t>
      </w:r>
    </w:p>
    <w:p>
      <w:pPr>
        <w:pStyle w:val="BodyText"/>
      </w:pPr>
      <w:r>
        <w:t xml:space="preserve">Katherine L. Forthman 0000-0002-8695-8388</w:t>
      </w:r>
    </w:p>
    <w:p>
      <w:pPr>
        <w:pStyle w:val="BodyText"/>
      </w:pPr>
      <w:r>
        <w:t xml:space="preserve">Dale Peasley 0009-0003-7696-595X</w:t>
      </w:r>
    </w:p>
    <w:p>
      <w:pPr>
        <w:pStyle w:val="BodyText"/>
      </w:pPr>
      <w:r>
        <w:t xml:space="preserve">Sandip Sen 0000-0001-6107-4095</w:t>
      </w:r>
    </w:p>
    <w:bookmarkEnd w:id="10"/>
    <w:bookmarkEnd w:id="11"/>
    <w:bookmarkStart w:id="12" w:name="_abstract"/>
    <w:p>
      <w:pPr>
        <w:pStyle w:val="Heading1"/>
      </w:pPr>
      <w:r>
        <w:t xml:space="preserve">Abstract</w:t>
      </w:r>
    </w:p>
    <w:p>
      <w:pPr>
        <w:pStyle w:val="FirstParagraph"/>
      </w:pPr>
      <w:r>
        <w:rPr>
          <w:b/>
          <w:bCs/>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
          <w:bCs/>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
          <w:bCs/>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
          <w:bCs/>
        </w:rPr>
        <w:t xml:space="preserve">Results:</w:t>
      </w:r>
      <w:r>
        <w:t xml:space="preserve"> </w:t>
      </w:r>
      <w:r>
        <w:t xml:space="preserve">The outcome occurred in 7,455 patients (17.5%, 95% CI 17.2–17.9).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(95% CI 0.017–0.039) but reduced discrimination for the 3 tree ensembles, by 0.013 (95% CI 0.001–0.026) to 0.022 (95% CI 0.011–0.033). Across encoders, embedded logistic regression reached 0.645 (95% CI 0.629–0.660) to 0.657 (95% CI 0.643–0.672). Permuting psychiatric history produced the largest loss for the primary encoder, 0.024 (95% CI 0.010–0.036) to 0.028 (95% CI 0.017–0.039) across classifiers; medication burden and prior treatment exposure also contributed. Permuting race/ethnicity or recorded social determinants changed ROC AUC by no more than 0.003, and every such interval included zero. Nearest-neighbor retrieval, scored at every neighborhood size from 1 to 34,063, stayed below both leading classifiers at every size. Its maximum at similarity exponent 1, 0.625 (95% CI 0.610–0.641) for logistic-regression-weighted retrieval, was read at a size chosen on the test patients and is optimistic. Randomly chosen neighbors stayed at chance, at most 0.500 (2.5th–97.5th percentile across draws 0.484–0.515).</w:t>
      </w:r>
    </w:p>
    <w:p>
      <w:pPr>
        <w:pStyle w:val="BodyText"/>
      </w:pPr>
      <w:r>
        <w:rPr>
          <w:b/>
          <w:bCs/>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Before either pipeline is used in care, 3 things need testing: whether the switching label reflects true treatment resistance, whether the models work in other health systems, and whether their predictions improve clinical decisions.</w:t>
      </w:r>
    </w:p>
    <w:p>
      <w:pPr>
        <w:pStyle w:val="BodyText"/>
      </w:pPr>
      <w:r>
        <w:t xml:space="preserve">Keywords: treatment-resistant depression; depression; electronic health records; machine learning; clinical prediction; text embeddings; antidepressants</w:t>
      </w:r>
    </w:p>
    <w:bookmarkEnd w:id="12"/>
    <w:bookmarkStart w:id="13" w:name="_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13"/>
    <w:bookmarkStart w:id="24" w:name="_methods"/>
    <w:p>
      <w:pPr>
        <w:pStyle w:val="Heading1"/>
      </w:pPr>
      <w:r>
        <w:t xml:space="preserve">Methods</w:t>
      </w:r>
    </w:p>
    <w:bookmarkStart w:id="14" w:name="_49e275e0513b8e1e92cbc33a2b96fdd1a4287bf"/>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14"/>
    <w:bookmarkStart w:id="18" w:name="_f2dd39f973457dd42f3db9d2cfa3214359c7119"/>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16" name="Picture"/>
            <a:graphic>
              <a:graphicData uri="http://schemas.openxmlformats.org/drawingml/2006/picture">
                <pic:pic>
                  <pic:nvPicPr>
                    <pic:cNvPr descr="../exports/results/Qwen-Qwen3-Embedding-8B/google_medgemma-27b-text-it/time_zero_timeline.png" id="17" name="Picture"/>
                    <pic:cNvPicPr>
                      <a:picLocks noChangeArrowheads="1" noChangeAspect="1"/>
                    </pic:cNvPicPr>
                  </pic:nvPicPr>
                  <pic:blipFill>
                    <a:blip r:embed="rId15"/>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18"/>
    <w:bookmarkStart w:id="19" w:name="_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19"/>
    <w:bookmarkStart w:id="20" w:name="_bc2ecf9ae28c51bfb04f261c78498a3323eb498"/>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0"/>
    <w:bookmarkStart w:id="21" w:name="_5f61c62670e39b803565c99f58f9215be61faf5"/>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21"/>
    <w:bookmarkStart w:id="22" w:name="_cc823ed83dc5ec31f8d38080373b9a0a736c5b0"/>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 2 nearest-neighbor metrics and random retrieval,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22"/>
    <w:bookmarkStart w:id="23" w:name="_2167f12c33b4c5bf55da6a4c284c297820adfc8"/>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23"/>
    <w:bookmarkEnd w:id="24"/>
    <w:bookmarkStart w:id="45" w:name="_results"/>
    <w:p>
      <w:pPr>
        <w:pStyle w:val="Heading1"/>
      </w:pPr>
      <w:r>
        <w:t xml:space="preserve">Results</w:t>
      </w:r>
    </w:p>
    <w:bookmarkStart w:id="25" w:name="_05544cad0514f6a68575f9a3bde29a58fbe80a2"/>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FirstParagraph"/>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25"/>
    <w:bookmarkStart w:id="29" w:name="_4af3dff24012ff8b532b70fa2af7ea2376fc878"/>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FirstParagraph"/>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27" name="Picture"/>
            <a:graphic>
              <a:graphicData uri="http://schemas.openxmlformats.org/drawingml/2006/picture">
                <pic:pic>
                  <pic:nvPicPr>
                    <pic:cNvPr descr="../exports/results/Qwen-Qwen3-Embedding-8B/google_medgemma-27b-text-it/discrimination_forest_EMBEDDED_vs_FEATURE.png" id="28" name="Picture"/>
                    <pic:cNvPicPr>
                      <a:picLocks noChangeArrowheads="1" noChangeAspect="1"/>
                    </pic:cNvPicPr>
                  </pic:nvPicPr>
                  <pic:blipFill>
                    <a:blip r:embed="rId26"/>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29"/>
    <w:bookmarkStart w:id="33" w:name="_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FirstParagraph"/>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31" name="Picture"/>
            <a:graphic>
              <a:graphicData uri="http://schemas.openxmlformats.org/drawingml/2006/picture">
                <pic:pic>
                  <pic:nvPicPr>
                    <pic:cNvPr descr="../exports/results/cross_embedder_robustness_EMBEDDED.png" id="32" name="Picture"/>
                    <pic:cNvPicPr>
                      <a:picLocks noChangeArrowheads="1" noChangeAspect="1"/>
                    </pic:cNvPicPr>
                  </pic:nvPicPr>
                  <pic:blipFill>
                    <a:blip r:embed="rId30"/>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33"/>
    <w:bookmarkStart w:id="37" w:name="_8ca3efeaa8d9d9d1376f80bd09636098b9bcacd"/>
    <w:p>
      <w:pPr>
        <w:pStyle w:val="Heading2"/>
      </w:pPr>
      <w:r>
        <w:t xml:space="preserve">Retrieval and Subgroup Performance</w:t>
      </w:r>
    </w:p>
    <w:p>
      <w:pPr>
        <w:pStyle w:val="FirstParagraph"/>
      </w:pPr>
      <w:r>
        <w:t xml:space="preserve">Retrieval is reported as a curve over neighborhood size (Figure 4).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ROC curves and confusion matrices at each arm’s best k are in Multimedia Appendix 1, section S6.</w:t>
      </w:r>
    </w:p>
    <w:p>
      <w:pPr>
        <w:pStyle w:val="BodyText"/>
      </w:pPr>
      <w:r>
        <w:drawing>
          <wp:inline>
            <wp:extent cx="5486400" cy="4879361"/>
            <wp:effectExtent b="0" l="0" r="0" t="0"/>
            <wp:docPr descr="" title="" id="35" name="Picture"/>
            <a:graphic>
              <a:graphicData uri="http://schemas.openxmlformats.org/drawingml/2006/picture">
                <pic:pic>
                  <pic:nvPicPr>
                    <pic:cNvPr descr="../exports/results/Qwen-Qwen3-Embedding-8B/google_medgemma-27b-text-it/neighbor_count_sweep/neighbor_count_sweep_manuscript.png" id="36" name="Picture"/>
                    <pic:cNvPicPr>
                      <a:picLocks noChangeArrowheads="1" noChangeAspect="1"/>
                    </pic:cNvPicPr>
                  </pic:nvPicPr>
                  <pic:blipFill>
                    <a:blip r:embed="rId34"/>
                    <a:stretch>
                      <a:fillRect/>
                    </a:stretch>
                  </pic:blipFill>
                  <pic:spPr bwMode="auto">
                    <a:xfrm>
                      <a:off x="0" y="0"/>
                      <a:ext cx="5486400" cy="4879361"/>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ROC AUC in 8,516 test patients at every k from 1 to 34,063 for logistic-regression-weighted and plain cosine retrieval, with bootstrap 95% bands, and for random retrieval with uniform weights, as the mean across 1,000 draws within the 2.5th–97.5th percentile of the draws. Points mark each arm’s best k, chosen on the test patients, so the values there are optimistic; the random arm’s best k is noise. Horizontal lines mark the 2 leading trained classifiers. Curves use α = 1; the maxima under α = 1, 2, and 5 agreed within 0.002. Figure 5 draws the same plot for the other 3 encoders.</w:t>
      </w:r>
    </w:p>
    <w:p>
      <w:pPr>
        <w:pStyle w:val="BodyText"/>
      </w:pPr>
      <w:r>
        <w:t xml:space="preserve">Subgroup analyses scored each retrieval arm at its best k. Of 240 subgroup contrasts, 23 survived multiplicity adjustment; 19 involved depression recurrence. Discrimination was higher with recurrent coding in all 10 models contrasted and lower with single-episode coding in 9. Performance was lower among never-married patients for 2 embedded classifiers and logistic-regression-weighted retrieval, and among patients aged 18–29 for feature-vector XGBoost. Sex contrasts did not show clear differences. White-minus-non-White ROC AUC differences were consistently positive, from +0.005 (95% CI −0.031 to +0.042) to +0.046 (95% CI +0.006 to +0.087), but none survived adjustment. For feature-vector logistic regression, individual-level calibration slopes were 0.98 (95% CI 0.85–1.11) in White patients and 0.79 (95% CI 0.56–1.02) in patients with other recorded racial categories. These findings do not establish equitable performance (Multimedia Appendix 1, section S9).</w:t>
      </w:r>
    </w:p>
    <w:bookmarkEnd w:id="37"/>
    <w:bookmarkStart w:id="44" w:name="_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5).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the primary encoder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the primary encoder’s difference was tested, 0.007 (95% CI −0.001 to 0.014).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drawing>
          <wp:inline>
            <wp:extent cx="5486400" cy="5570854"/>
            <wp:effectExtent b="0" l="0" r="0" t="0"/>
            <wp:docPr descr="" title="" id="39" name="Picture"/>
            <a:graphic>
              <a:graphicData uri="http://schemas.openxmlformats.org/drawingml/2006/picture">
                <pic:pic>
                  <pic:nvPicPr>
                    <pic:cNvPr descr="../exports/results/cross_embedder_retrieval/neighbor_count_sweep_panels.png" id="40" name="Picture"/>
                    <pic:cNvPicPr>
                      <a:picLocks noChangeArrowheads="1" noChangeAspect="1"/>
                    </pic:cNvPicPr>
                  </pic:nvPicPr>
                  <pic:blipFill>
                    <a:blip r:embed="rId38"/>
                    <a:stretch>
                      <a:fillRect/>
                    </a:stretch>
                  </pic:blipFill>
                  <pic:spPr bwMode="auto">
                    <a:xfrm>
                      <a:off x="0" y="0"/>
                      <a:ext cx="5486400" cy="5570854"/>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Retrieval discrimination by neighborhood size for the other 3 encoders: (A) bge-small-en-v1.5, (B) bge-en-icl, and (C) Qwen3-Embedding-4B. Figure 4 is the same plot for Qwen3-Embedding-8B. Each panel draws ROC AUC in 8,516 test patients at every k from 1 to 34,063 for logistic-regression-weighted and plain cosine retrieval, with bootstrap 95% bands, and for random retrieval with uniform weights, as the mean across 1,000 draws within the 2.5th–97.5th percentile of the draws. Each encoder’s weights come from its own embedded logistic regression. Points mark each arm’s best k, chosen on the test patients, so the values there are optimistic. Horizontal lines mark that encoder’s embedded logistic regression and feature-vector XGBoost, which is the same in every panel. Curves use α = 1.</w:t>
      </w:r>
    </w:p>
    <w:p>
      <w:pPr>
        <w:pStyle w:val="BodyText"/>
      </w:pPr>
      <w:r>
        <w:t xml:space="preserve">The number of embedding dimensions each logistic regression relied on was similar for 3 of the 4 encoders. The fewest dimensions holding 90% of the absolute coefficient mass were 253 for bge-small-en-v1.5, 271 for bge-en-icl, 1,626 for Qwen3-Embedding-4B, and 236 for Qwen3-Embedding-8B. These counts describe each fitted model and carry no sampling interval. Best k did not follow them. Qwen3-Embedding-4B used the most dimensions, yet its best k, 684 and 493 for the 2 metrics, lay inside the range of the other encoders (Figure 6). With 4 encoders, this comparison describes a relation and does not test one.</w:t>
      </w:r>
    </w:p>
    <w:p>
      <w:pPr>
        <w:pStyle w:val="BodyText"/>
      </w:pPr>
      <w:r>
        <w:drawing>
          <wp:inline>
            <wp:extent cx="5486400" cy="4601496"/>
            <wp:effectExtent b="0" l="0" r="0" t="0"/>
            <wp:docPr descr="" title="" id="42" name="Picture"/>
            <a:graphic>
              <a:graphicData uri="http://schemas.openxmlformats.org/drawingml/2006/picture">
                <pic:pic>
                  <pic:nvPicPr>
                    <pic:cNvPr descr="../exports/results/cross_embedder_retrieval/lr_dimensions_vs_best_k.png" id="43" name="Picture"/>
                    <pic:cNvPicPr>
                      <a:picLocks noChangeArrowheads="1" noChangeAspect="1"/>
                    </pic:cNvPicPr>
                  </pic:nvPicPr>
                  <pic:blipFill>
                    <a:blip r:embed="rId41"/>
                    <a:stretch>
                      <a:fillRect/>
                    </a:stretch>
                  </pic:blipFill>
                  <pic:spPr bwMode="auto">
                    <a:xfrm>
                      <a:off x="0" y="0"/>
                      <a:ext cx="5486400" cy="4601496"/>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Logistic-regression dimensions against best k for the 4 encoders. The horizontal axis is the fewest embedding dimensions holding 90% of the absolute coefficient mass of each encoder’s embedded logistic regression. The vertical axis is the best k of logistic-regression-weighted (filled markers) and plain cosine retrieval (open markers), chosen on the test patients and therefore optimistic. Both axes are logarithmic. In-plot labels abbreviate bge-small-en-v1.5, Qwen3-Embedding-4B, and Qwen3-Embedding-8B.</w:t>
      </w:r>
    </w:p>
    <w:bookmarkEnd w:id="44"/>
    <w:bookmarkEnd w:id="45"/>
    <w:bookmarkStart w:id="51" w:name="_discussion"/>
    <w:p>
      <w:pPr>
        <w:pStyle w:val="Heading1"/>
      </w:pPr>
      <w:r>
        <w:t xml:space="preserve">Discussion</w:t>
      </w:r>
    </w:p>
    <w:bookmarkStart w:id="46" w:name="_4ff16389c13055d3b73fad181cc5927e5a98872"/>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46"/>
    <w:bookmarkStart w:id="47" w:name="_3636ce9be5da45ab88a1fa0b95c3374871bf13a"/>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47"/>
    <w:bookmarkStart w:id="48" w:name="_d5f796a8c7b3734ab52735d14bab7ca275f0d55"/>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48"/>
    <w:bookmarkStart w:id="49" w:name="_2176107ceb905df0767f129fe8aec029a2e4a17"/>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49"/>
    <w:bookmarkStart w:id="50" w:name="_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50"/>
    <w:bookmarkEnd w:id="51"/>
    <w:bookmarkStart w:id="52" w:name="_acknowledgments"/>
    <w:p>
      <w:pPr>
        <w:pStyle w:val="Heading1"/>
      </w:pPr>
      <w:r>
        <w:t xml:space="preserve">Acknowledgments</w:t>
      </w:r>
    </w:p>
    <w:p>
      <w:pPr>
        <w:pStyle w:val="FirstParagraph"/>
      </w:pPr>
      <w:r>
        <w:t xml:space="preserve">ChatGPT (OpenAI) assisted with language editing and organization of the manuscript and supplement. The authors are responsible for the final content.</w:t>
      </w:r>
    </w:p>
    <w:bookmarkEnd w:id="52"/>
    <w:bookmarkStart w:id="53" w:name="_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53"/>
    <w:bookmarkStart w:id="54" w:name="_ce73433e89afc27902f14cba7583f04156a1bb2"/>
    <w:p>
      <w:pPr>
        <w:pStyle w:val="Heading1"/>
      </w:pPr>
      <w:r>
        <w:t xml:space="preserve">Conflicts of Interest</w:t>
      </w:r>
    </w:p>
    <w:p>
      <w:pPr>
        <w:pStyle w:val="FirstParagraph"/>
      </w:pPr>
      <w:r>
        <w:t xml:space="preserve">None declared.</w:t>
      </w:r>
    </w:p>
    <w:bookmarkEnd w:id="54"/>
    <w:bookmarkStart w:id="55" w:name="_ea5c66868f283220c19382d0fdd5a852ec570ca"/>
    <w:p>
      <w:pPr>
        <w:pStyle w:val="Heading1"/>
      </w:pPr>
      <w:r>
        <w:t xml:space="preserve">Data Availability</w:t>
      </w:r>
    </w:p>
    <w:p>
      <w:pPr>
        <w:pStyle w:val="FirstParagraph"/>
      </w:pPr>
      <w:r>
        <w:t xml:space="preserve">The EHR data cannot be shared publicly. Analysis code is available at https://github.com/Pirate-Hunter-Zoro/Atlas/tree/main/projects/TRD-EHR. Fitted model objects are not distributed because they are derived from nonshareable patient data.</w:t>
      </w:r>
    </w:p>
    <w:bookmarkEnd w:id="55"/>
    <w:bookmarkStart w:id="56" w:name="_b8356044e1855f49faa1ecb5e0ecc373fd3b25d"/>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56"/>
    <w:bookmarkStart w:id="57" w:name="_84a99ffdccc35137f46316f3ade1c2b3666e00f"/>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57"/>
    <w:bookmarkStart w:id="58" w:name="_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58"/>
    <w:bookmarkStart w:id="59" w:name="_0e5fd1e419bdcc070144e07b692f54cc99ea860"/>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59"/>
    <w:bookmarkStart w:id="60" w:name="_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6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2026-10-08T21:42:34Z</dcterms:created>
  <dcterms:modified xsi:type="dcterms:W3CDTF">2026-10-08T21:42:34Z</dcterms:modified>
</cp:coreProperties>
</file>

<file path=docProps/custom.xml><?xml version="1.0" encoding="utf-8"?>
<Properties xmlns="http://schemas.openxmlformats.org/officeDocument/2006/custom-properties" xmlns:vt="http://schemas.openxmlformats.org/officeDocument/2006/docPropsVTypes"/>
</file>