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45.png" ContentType="image/png"/>
  <Override PartName="/word/media/rId148.png" ContentType="image/png"/>
  <Override PartName="/word/media/rId118.png" ContentType="image/png"/>
  <Override PartName="/word/media/rId121.png" ContentType="image/png"/>
  <Override PartName="/word/media/rId202.png" ContentType="image/png"/>
  <Override PartName="/word/media/rId61.png" ContentType="image/png"/>
  <Override PartName="/word/media/rId64.png" ContentType="image/png"/>
  <Override PartName="/word/media/rId182.png" ContentType="image/png"/>
  <Override PartName="/word/media/rId185.png" ContentType="image/png"/>
  <Override PartName="/word/media/rId86.png" ContentType="image/png"/>
  <Override PartName="/word/media/rId27.png" ContentType="image/png"/>
  <Override PartName="/word/media/rId23.png" ContentType="image/png"/>
  <Override PartName="/word/media/rId195.png" ContentType="image/png"/>
  <Override PartName="/word/media/rId189.png" ContentType="image/png"/>
  <Override PartName="/word/media/rId37.png" ContentType="image/png"/>
  <Override PartName="/word/media/rId31.png" ContentType="image/png"/>
  <Override PartName="/word/media/rId34.png" ContentType="image/png"/>
  <Override PartName="/word/media/rId40.png" ContentType="image/png"/>
  <Override PartName="/word/media/rId192.png" ContentType="image/png"/>
  <Override PartName="/word/media/rId198.png" ContentType="image/png"/>
  <Override PartName="/word/media/rId67.png" ContentType="image/png"/>
  <Override PartName="/word/media/rId70.png" ContentType="image/png"/>
  <Override PartName="/word/media/rId73.png" ContentType="image/png"/>
  <Override PartName="/word/media/rId124.png" ContentType="image/png"/>
  <Override PartName="/word/media/rId127.png" ContentType="image/png"/>
  <Override PartName="/word/media/rId130.png" ContentType="image/png"/>
  <Override PartName="/word/media/rId51.png" ContentType="image/png"/>
  <Override PartName="/word/media/rId54.png" ContentType="image/png"/>
  <Override PartName="/word/media/rId57.png" ContentType="image/png"/>
  <Override PartName="/word/media/rId97.png" ContentType="image/png"/>
  <Override PartName="/word/media/rId100.png" ContentType="image/png"/>
  <Override PartName="/word/media/rId103.png" ContentType="image/png"/>
  <Override PartName="/word/media/rId45.png" ContentType="image/png"/>
  <Override PartName="/word/media/rId48.png" ContentType="image/png"/>
  <Override PartName="/word/media/rId176.png" ContentType="image/png"/>
  <Override PartName="/word/media/rId179.png" ContentType="image/png"/>
  <Override PartName="/word/media/rId80.png" ContentType="image/png"/>
  <Override PartName="/word/media/rId139.png" ContentType="image/png"/>
  <Override PartName="/word/media/rId142.png" ContentType="image/png"/>
  <Override PartName="/word/media/rId112.png" ContentType="image/png"/>
  <Override PartName="/word/media/rId115.png" ContentType="image/png"/>
  <Override PartName="/word/media/rId77.png" ContentType="image/png"/>
  <Override PartName="/word/media/rId133.png" ContentType="image/png"/>
  <Override PartName="/word/media/rId136.png" ContentType="image/png"/>
  <Override PartName="/word/media/rId106.png" ContentType="image/png"/>
  <Override PartName="/word/media/rId109.png" ContentType="image/png"/>
  <Override PartName="/word/media/rId92.png" ContentType="image/png"/>
  <Override PartName="/word/media/rId89.png" ContentType="image/png"/>
  <Override PartName="/word/media/rId155.png" ContentType="image/png"/>
  <Override PartName="/word/media/rId158.png" ContentType="image/png"/>
  <Override PartName="/word/media/rId152.png" ContentType="image/png"/>
  <Override PartName="/word/media/rId161.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9"/>
    <w:bookmarkStart w:id="10" w:name="_189de71b1662f53e83c473ec8dc0507259a7700"/>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10"/>
    <w:bookmarkStart w:id="11" w:name="_d0e0b7bfe2696c104d06d8df71b7dde83e6b7a6"/>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FirstParagraph"/>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11"/>
    <w:bookmarkStart w:id="12" w:name="_63bc0803ebe962ba9f374966d573a6a80945fa8"/>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12"/>
    <w:bookmarkStart w:id="13" w:name="_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FirstParagraph"/>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FirstParagraph"/>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13"/>
    <w:bookmarkStart w:id="14" w:name="_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14"/>
    <w:bookmarkStart w:id="15" w:name="_6ffa280f75c7cf4892b6b73d89106920f864adb"/>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15"/>
    <w:bookmarkStart w:id="16" w:name="_e512f7c9d6973567a13eda16a9dea9acb2ade7b"/>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16"/>
    <w:bookmarkStart w:id="17" w:name="_4a68fb2b5b9a0d62d178a9835179129c1a57913"/>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17"/>
    <w:bookmarkStart w:id="18" w:name="_f63449e908d2c9454fcf45e2035afbf0ceaf2c8"/>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18"/>
    <w:bookmarkStart w:id="19" w:name="_698e41e0120928c434fa7fbbe21a131ece11f5c"/>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the primary encoder,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19"/>
    <w:bookmarkStart w:id="20" w:name="_70107c49b67831db4bf9463fe65972f2291ed9f"/>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bookmarkStart w:id="21" w:name="_bf88c08aa121cce1867f81f3b551b2d5e1fb3db"/>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Figures 4–6). ROC curves and confusion matrices at best k are reported for all 4 encoders (section S6). Paired contrasts, the precision–recall and calibration panels at best k (sections S2–S3), and the subgroup analyses describe the primary encoder only.</w:t>
      </w:r>
    </w:p>
    <w:bookmarkEnd w:id="21"/>
    <w:bookmarkStart w:id="22" w:name="_a63be560897cb0514a797ab2be8f16f1487b632"/>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2"/>
    <w:bookmarkStart w:id="44" w:name="_79427edb8601e263098e72c67087e7ef386f251"/>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26" w:name="_1060d720c115f1ad4f94af0846463e30bf583bd"/>
    <w:p>
      <w:pPr>
        <w:pStyle w:val="Heading2"/>
      </w:pPr>
      <w:r>
        <w:t xml:space="preserve">S1.1 Sparsity and cumulative built-in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24" name="Picture"/>
            <a:graphic>
              <a:graphicData uri="http://schemas.openxmlformats.org/drawingml/2006/picture">
                <pic:pic>
                  <pic:nvPicPr>
                    <pic:cNvPr descr="../exports/results/Qwen-Qwen3-Embedding-8B/google_medgemma-27b-text-it/feature_importance/feature_importance_cumulative_EMBEDDED.png" id="25" name="Picture"/>
                    <pic:cNvPicPr>
                      <a:picLocks noChangeArrowheads="1" noChangeAspect="1"/>
                    </pic:cNvPicPr>
                  </pic:nvPicPr>
                  <pic:blipFill>
                    <a:blip r:embed="rId2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26"/>
    <w:bookmarkStart w:id="30" w:name="_bb95a0e07a4dea7bf25dbfb2045c3f351758df0"/>
    <w:p>
      <w:pPr>
        <w:pStyle w:val="Heading2"/>
      </w:pPr>
      <w:r>
        <w:t xml:space="preserve">S1.2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28" name="Picture"/>
            <a:graphic>
              <a:graphicData uri="http://schemas.openxmlformats.org/drawingml/2006/picture">
                <pic:pic>
                  <pic:nvPicPr>
                    <pic:cNvPr descr="../exports/results/Qwen-Qwen3-Embedding-8B/google_medgemma-27b-text-it/feature_importance/feature_correlation_cumulative_EMBEDDED.png" id="29" name="Picture"/>
                    <pic:cNvPicPr>
                      <a:picLocks noChangeArrowheads="1" noChangeAspect="1"/>
                    </pic:cNvPicPr>
                  </pic:nvPicPr>
                  <pic:blipFill>
                    <a:blip r:embed="rId2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0"/>
    <w:bookmarkStart w:id="43" w:name="_132bc64ce34c967e63c98296f18c4409603e286"/>
    <w:p>
      <w:pPr>
        <w:pStyle w:val="Heading2"/>
      </w:pPr>
      <w:r>
        <w:t xml:space="preserve">S1.3 PCA-K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32" name="Picture"/>
            <a:graphic>
              <a:graphicData uri="http://schemas.openxmlformats.org/drawingml/2006/picture">
                <pic:pic>
                  <pic:nvPicPr>
                    <pic:cNvPr descr="../exports/results/Qwen-Qwen3-Embedding-8B/google_medgemma-27b-text-it/feature_importance/feature_importance_pca_sweep_logistic_regression_EMBEDDED.png" id="33" name="Picture"/>
                    <pic:cNvPicPr>
                      <a:picLocks noChangeArrowheads="1" noChangeAspect="1"/>
                    </pic:cNvPicPr>
                  </pic:nvPicPr>
                  <pic:blipFill>
                    <a:blip r:embed="rId3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35" name="Picture"/>
            <a:graphic>
              <a:graphicData uri="http://schemas.openxmlformats.org/drawingml/2006/picture">
                <pic:pic>
                  <pic:nvPicPr>
                    <pic:cNvPr descr="../exports/results/Qwen-Qwen3-Embedding-8B/google_medgemma-27b-text-it/feature_importance/feature_importance_pca_sweep_random_forest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303520" cy="3182111"/>
            <wp:effectExtent b="0" l="0" r="0" t="0"/>
            <wp:docPr descr="" title="" id="38" name="Picture"/>
            <a:graphic>
              <a:graphicData uri="http://schemas.openxmlformats.org/drawingml/2006/picture">
                <pic:pic>
                  <pic:nvPicPr>
                    <pic:cNvPr descr="../exports/results/Qwen-Qwen3-Embedding-8B/google_medgemma-27b-text-it/feature_importance/feature_importance_pca_sweep_gradient_boosting_EMBEDDED.png" id="39" name="Picture"/>
                    <pic:cNvPicPr>
                      <a:picLocks noChangeArrowheads="1" noChangeAspect="1"/>
                    </pic:cNvPicPr>
                  </pic:nvPicPr>
                  <pic:blipFill>
                    <a:blip r:embed="rId3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41" name="Picture"/>
            <a:graphic>
              <a:graphicData uri="http://schemas.openxmlformats.org/drawingml/2006/picture">
                <pic:pic>
                  <pic:nvPicPr>
                    <pic:cNvPr descr="../exports/results/Qwen-Qwen3-Embedding-8B/google_medgemma-27b-text-it/feature_importance/feature_importance_pca_sweep_xgboost_EMBEDDED.png" id="42"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3"/>
    <w:bookmarkEnd w:id="44"/>
    <w:bookmarkStart w:id="60" w:name="_37c5a7aca085f00e238895c3e50aed26129ffba"/>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FirstParagraph"/>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FirstParagraph"/>
      </w:pPr>
      <w:r>
        <w:t xml:space="preserve">A Embedded logistic regression</w:t>
      </w:r>
    </w:p>
    <w:p>
      <w:pPr>
        <w:pStyle w:val="BodyText"/>
      </w:pPr>
      <w:r>
        <w:drawing>
          <wp:inline>
            <wp:extent cx="5303520" cy="2863900"/>
            <wp:effectExtent b="0" l="0" r="0" t="0"/>
            <wp:docPr descr="" title="" id="46" name="Picture"/>
            <a:graphic>
              <a:graphicData uri="http://schemas.openxmlformats.org/drawingml/2006/picture">
                <pic:pic>
                  <pic:nvPicPr>
                    <pic:cNvPr descr="../exports/results/Qwen-Qwen3-Embedding-8B/google_medgemma-27b-text-it/pr_curves/pr_curve_logistic_regression_EMBEDDED.png" id="47"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49" name="Picture"/>
            <a:graphic>
              <a:graphicData uri="http://schemas.openxmlformats.org/drawingml/2006/picture">
                <pic:pic>
                  <pic:nvPicPr>
                    <pic:cNvPr descr="../exports/results/Qwen-Qwen3-Embedding-8B/google_medgemma-27b-text-it/pr_curves/pr_curve_xgboost_FEATURE.png" id="5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52" name="Picture"/>
            <a:graphic>
              <a:graphicData uri="http://schemas.openxmlformats.org/drawingml/2006/picture">
                <pic:pic>
                  <pic:nvPicPr>
                    <pic:cNvPr descr="../exports/results/Qwen-Qwen3-Embedding-8B/google_medgemma-27b-text-it/neighbor_count_sweep/best_k_panels/pr_curve_NEAREST_IMPORTANCE_WEIGHTED_alpha1_k295.png" id="53"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55" name="Picture"/>
            <a:graphic>
              <a:graphicData uri="http://schemas.openxmlformats.org/drawingml/2006/picture">
                <pic:pic>
                  <pic:nvPicPr>
                    <pic:cNvPr descr="../exports/results/Qwen-Qwen3-Embedding-8B/google_medgemma-27b-text-it/neighbor_count_sweep/best_k_panels/pr_curve_NEAREST_PLAIN_COSINE_alpha1_k757.png" id="56"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58" name="Picture"/>
            <a:graphic>
              <a:graphicData uri="http://schemas.openxmlformats.org/drawingml/2006/picture">
                <pic:pic>
                  <pic:nvPicPr>
                    <pic:cNvPr descr="../exports/results/Qwen-Qwen3-Embedding-8B/google_medgemma-27b-text-it/neighbor_count_sweep/best_k_panels/pr_curve_RANDOM_UNIFORM_k32720.png" id="59" name="Picture"/>
                    <pic:cNvPicPr>
                      <a:picLocks noChangeArrowheads="1" noChangeAspect="1"/>
                    </pic:cNvPicPr>
                  </pic:nvPicPr>
                  <pic:blipFill>
                    <a:blip r:embed="rId5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E is the draw of 1,000 whose ROC AUC at that k is closest to their mean. Every panel’s legend prints average precision with its bootstrap 95% CI (in E, the CI of that one draw over test patients) and the no-skill reference, the positive rate, 0.175 (95% CI 0.167–0.183). Legend average precision differs from the table AUPRC by at most 0.001.</w:t>
      </w:r>
    </w:p>
    <w:bookmarkEnd w:id="60"/>
    <w:bookmarkStart w:id="76" w:name="_24af855a24565bc512e345a16e8d55bb40fcc9a"/>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FirstParagraph"/>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FirstParagraph"/>
      </w:pPr>
      <w:r>
        <w:t xml:space="preserve">A Embedded logistic regression</w:t>
      </w:r>
    </w:p>
    <w:p>
      <w:pPr>
        <w:pStyle w:val="BodyText"/>
      </w:pPr>
      <w:r>
        <w:drawing>
          <wp:inline>
            <wp:extent cx="5303520" cy="2863900"/>
            <wp:effectExtent b="0" l="0" r="0" t="0"/>
            <wp:docPr descr="" title="" id="62" name="Picture"/>
            <a:graphic>
              <a:graphicData uri="http://schemas.openxmlformats.org/drawingml/2006/picture">
                <pic:pic>
                  <pic:nvPicPr>
                    <pic:cNvPr descr="../exports/results/Qwen-Qwen3-Embedding-8B/google_medgemma-27b-text-it/calibration_curves/calibration_curve_logistic_regression_EMBEDDED.png" id="63"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5" name="Picture"/>
            <a:graphic>
              <a:graphicData uri="http://schemas.openxmlformats.org/drawingml/2006/picture">
                <pic:pic>
                  <pic:nvPicPr>
                    <pic:cNvPr descr="../exports/results/Qwen-Qwen3-Embedding-8B/google_medgemma-27b-text-it/calibration_curves/calibration_curve_xgboost_FEATURE.png" id="66"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8" name="Picture"/>
            <a:graphic>
              <a:graphicData uri="http://schemas.openxmlformats.org/drawingml/2006/picture">
                <pic:pic>
                  <pic:nvPicPr>
                    <pic:cNvPr descr="../exports/results/Qwen-Qwen3-Embedding-8B/google_medgemma-27b-text-it/neighbor_count_sweep/best_k_panels/calibration_curve_NEAREST_IMPORTANCE_WEIGHTED_alpha1_k295.png" id="69"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71" name="Picture"/>
            <a:graphic>
              <a:graphicData uri="http://schemas.openxmlformats.org/drawingml/2006/picture">
                <pic:pic>
                  <pic:nvPicPr>
                    <pic:cNvPr descr="../exports/results/Qwen-Qwen3-Embedding-8B/google_medgemma-27b-text-it/neighbor_count_sweep/best_k_panels/calibration_curve_NEAREST_PLAIN_COSINE_alpha1_k757.png" id="72" name="Picture"/>
                    <pic:cNvPicPr>
                      <a:picLocks noChangeArrowheads="1" noChangeAspect="1"/>
                    </pic:cNvPicPr>
                  </pic:nvPicPr>
                  <pic:blipFill>
                    <a:blip r:embed="rId7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74" name="Picture"/>
            <a:graphic>
              <a:graphicData uri="http://schemas.openxmlformats.org/drawingml/2006/picture">
                <pic:pic>
                  <pic:nvPicPr>
                    <pic:cNvPr descr="../exports/results/Qwen-Qwen3-Embedding-8B/google_medgemma-27b-text-it/neighbor_count_sweep/best_k_panels/calibration_curve_RANDOM_UNIFORM_k32720.png" id="75" name="Picture"/>
                    <pic:cNvPicPr>
                      <a:picLocks noChangeArrowheads="1" noChangeAspect="1"/>
                    </pic:cNvPicPr>
                  </pic:nvPicPr>
                  <pic:blipFill>
                    <a:blip r:embed="rId7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76"/>
    <w:bookmarkStart w:id="95" w:name="_c7b59c4eeda87d0d0de760f4b360b7eb391d6aa"/>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2863900"/>
            <wp:effectExtent b="0" l="0" r="0" t="0"/>
            <wp:docPr descr="" title="" id="78" name="Picture"/>
            <a:graphic>
              <a:graphicData uri="http://schemas.openxmlformats.org/drawingml/2006/picture">
                <pic:pic>
                  <pic:nvPicPr>
                    <pic:cNvPr descr="../exports/results/bge-small-en-v1.5/google_medgemma-27b-text-it/cosine_score_random_vs_neighbor.png" id="79" name="Picture"/>
                    <pic:cNvPicPr>
                      <a:picLocks noChangeArrowheads="1" noChangeAspect="1"/>
                    </pic:cNvPicPr>
                  </pic:nvPicPr>
                  <pic:blipFill>
                    <a:blip r:embed="rId7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2863900"/>
            <wp:effectExtent b="0" l="0" r="0" t="0"/>
            <wp:docPr descr="" title="" id="81" name="Picture"/>
            <a:graphic>
              <a:graphicData uri="http://schemas.openxmlformats.org/drawingml/2006/picture">
                <pic:pic>
                  <pic:nvPicPr>
                    <pic:cNvPr descr="../exports/results/bge-en-icl/google_medgemma-27b-text-it/cosine_score_random_vs_neighbor.png" id="82" name="Picture"/>
                    <pic:cNvPicPr>
                      <a:picLocks noChangeArrowheads="1" noChangeAspect="1"/>
                    </pic:cNvPicPr>
                  </pic:nvPicPr>
                  <pic:blipFill>
                    <a:blip r:embed="rId8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Qwen3-Embedding-4B</w:t>
      </w:r>
    </w:p>
    <w:p>
      <w:pPr>
        <w:pStyle w:val="BodyText"/>
      </w:pPr>
      <w:r>
        <w:drawing>
          <wp:inline>
            <wp:extent cx="5303520" cy="2863900"/>
            <wp:effectExtent b="0" l="0" r="0" t="0"/>
            <wp:docPr descr="" title="" id="84" name="Picture"/>
            <a:graphic>
              <a:graphicData uri="http://schemas.openxmlformats.org/drawingml/2006/picture">
                <pic:pic>
                  <pic:nvPicPr>
                    <pic:cNvPr descr="../exports/results/Qwen-Qwen3-Embedding-4B/google_medgemma-27b-text-it/cosine_score_random_vs_neighbor.png" id="85" name="Picture"/>
                    <pic:cNvPicPr>
                      <a:picLocks noChangeArrowheads="1" noChangeAspect="1"/>
                    </pic:cNvPicPr>
                  </pic:nvPicPr>
                  <pic:blipFill>
                    <a:blip r:embed="rId8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2863900"/>
            <wp:effectExtent b="0" l="0" r="0" t="0"/>
            <wp:docPr descr="" title="" id="87" name="Picture"/>
            <a:graphic>
              <a:graphicData uri="http://schemas.openxmlformats.org/drawingml/2006/picture">
                <pic:pic>
                  <pic:nvPicPr>
                    <pic:cNvPr descr="../exports/results/Qwen-Qwen3-Embedding-8B/google_medgemma-27b-text-it/cosine_score_random_vs_neighbor.png" id="88"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FirstParagraph"/>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2846563"/>
            <wp:effectExtent b="0" l="0" r="0" t="0"/>
            <wp:docPr descr="" title="" id="90" name="Picture"/>
            <a:graphic>
              <a:graphicData uri="http://schemas.openxmlformats.org/drawingml/2006/picture">
                <pic:pic>
                  <pic:nvPicPr>
                    <pic:cNvPr descr="../exports/results/notebook_figures/bge_small_recurrence_bimodality.png" id="91" name="Picture"/>
                    <pic:cNvPicPr>
                      <a:picLocks noChangeArrowheads="1" noChangeAspect="1"/>
                    </pic:cNvPicPr>
                  </pic:nvPicPr>
                  <pic:blipFill>
                    <a:blip r:embed="rId89"/>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2846563"/>
            <wp:effectExtent b="0" l="0" r="0" t="0"/>
            <wp:docPr descr="" title="" id="93" name="Picture"/>
            <a:graphic>
              <a:graphicData uri="http://schemas.openxmlformats.org/drawingml/2006/picture">
                <pic:pic>
                  <pic:nvPicPr>
                    <pic:cNvPr descr="../exports/results/notebook_figures/bge_small_cluster0_subsplit.png" id="94" name="Picture"/>
                    <pic:cNvPicPr>
                      <a:picLocks noChangeArrowheads="1" noChangeAspect="1"/>
                    </pic:cNvPicPr>
                  </pic:nvPicPr>
                  <pic:blipFill>
                    <a:blip r:embed="rId92"/>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FirstParagraph"/>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95"/>
    <w:bookmarkStart w:id="96" w:name="_5c48de31bbacefba0a4c9180d4a3c6aa5ea51ef"/>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96"/>
    <w:bookmarkStart w:id="151" w:name="_941040992f17cd95ea753eef2b3c32a0d20580a"/>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FirstParagraph"/>
      </w:pPr>
      <w:r>
        <w:t xml:space="preserve">Figures S8 and S9 draw ROC curves and confusion matrices only at each arm’s best k, for all 4 encoders. Panels A–C are the primary encoder’s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98" name="Picture"/>
            <a:graphic>
              <a:graphicData uri="http://schemas.openxmlformats.org/drawingml/2006/picture">
                <pic:pic>
                  <pic:nvPicPr>
                    <pic:cNvPr descr="../exports/results/Qwen-Qwen3-Embedding-8B/google_medgemma-27b-text-it/neighbor_count_sweep/best_k_panels/roc_curve_NEAREST_IMPORTANCE_WEIGHTED_alpha1_k295.png" id="99" name="Picture"/>
                    <pic:cNvPicPr>
                      <a:picLocks noChangeArrowheads="1" noChangeAspect="1"/>
                    </pic:cNvPicPr>
                  </pic:nvPicPr>
                  <pic:blipFill>
                    <a:blip r:embed="rId9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01" name="Picture"/>
            <a:graphic>
              <a:graphicData uri="http://schemas.openxmlformats.org/drawingml/2006/picture">
                <pic:pic>
                  <pic:nvPicPr>
                    <pic:cNvPr descr="../exports/results/Qwen-Qwen3-Embedding-8B/google_medgemma-27b-text-it/neighbor_count_sweep/best_k_panels/roc_curve_NEAREST_PLAIN_COSINE_alpha1_k757.png" id="102" name="Picture"/>
                    <pic:cNvPicPr>
                      <a:picLocks noChangeArrowheads="1" noChangeAspect="1"/>
                    </pic:cNvPicPr>
                  </pic:nvPicPr>
                  <pic:blipFill>
                    <a:blip r:embed="rId10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04" name="Picture"/>
            <a:graphic>
              <a:graphicData uri="http://schemas.openxmlformats.org/drawingml/2006/picture">
                <pic:pic>
                  <pic:nvPicPr>
                    <pic:cNvPr descr="../exports/results/Qwen-Qwen3-Embedding-8B/google_medgemma-27b-text-it/neighbor_count_sweep/best_k_panels/roc_curve_RANDOM_UNIFORM_k32720.png" id="105" name="Picture"/>
                    <pic:cNvPicPr>
                      <a:picLocks noChangeArrowheads="1" noChangeAspect="1"/>
                    </pic:cNvPicPr>
                  </pic:nvPicPr>
                  <pic:blipFill>
                    <a:blip r:embed="rId10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07" name="Picture"/>
            <a:graphic>
              <a:graphicData uri="http://schemas.openxmlformats.org/drawingml/2006/picture">
                <pic:pic>
                  <pic:nvPicPr>
                    <pic:cNvPr descr="../exports/results/bge-small-en-v1.5/google_medgemma-27b-text-it/neighbor_count_sweep/best_k_panels/roc_curve_NEAREST_IMPORTANCE_WEIGHTED_alpha1_k579.png" id="108" name="Picture"/>
                    <pic:cNvPicPr>
                      <a:picLocks noChangeArrowheads="1" noChangeAspect="1"/>
                    </pic:cNvPicPr>
                  </pic:nvPicPr>
                  <pic:blipFill>
                    <a:blip r:embed="rId10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10" name="Picture"/>
            <a:graphic>
              <a:graphicData uri="http://schemas.openxmlformats.org/drawingml/2006/picture">
                <pic:pic>
                  <pic:nvPicPr>
                    <pic:cNvPr descr="../exports/results/bge-small-en-v1.5/google_medgemma-27b-text-it/neighbor_count_sweep/best_k_panels/roc_curve_NEAREST_PLAIN_COSINE_alpha1_k1243.png" id="111" name="Picture"/>
                    <pic:cNvPicPr>
                      <a:picLocks noChangeArrowheads="1" noChangeAspect="1"/>
                    </pic:cNvPicPr>
                  </pic:nvPicPr>
                  <pic:blipFill>
                    <a:blip r:embed="rId10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13" name="Picture"/>
            <a:graphic>
              <a:graphicData uri="http://schemas.openxmlformats.org/drawingml/2006/picture">
                <pic:pic>
                  <pic:nvPicPr>
                    <pic:cNvPr descr="../exports/results/bge-en-icl/google_medgemma-27b-text-it/neighbor_count_sweep/best_k_panels/roc_curve_NEAREST_IMPORTANCE_WEIGHTED_alpha1_k1519.png" id="114" name="Picture"/>
                    <pic:cNvPicPr>
                      <a:picLocks noChangeArrowheads="1" noChangeAspect="1"/>
                    </pic:cNvPicPr>
                  </pic:nvPicPr>
                  <pic:blipFill>
                    <a:blip r:embed="rId11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16" name="Picture"/>
            <a:graphic>
              <a:graphicData uri="http://schemas.openxmlformats.org/drawingml/2006/picture">
                <pic:pic>
                  <pic:nvPicPr>
                    <pic:cNvPr descr="../exports/results/bge-en-icl/google_medgemma-27b-text-it/neighbor_count_sweep/best_k_panels/roc_curve_NEAREST_PLAIN_COSINE_alpha1_k413.png" id="117" name="Picture"/>
                    <pic:cNvPicPr>
                      <a:picLocks noChangeArrowheads="1" noChangeAspect="1"/>
                    </pic:cNvPicPr>
                  </pic:nvPicPr>
                  <pic:blipFill>
                    <a:blip r:embed="rId11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19" name="Picture"/>
            <a:graphic>
              <a:graphicData uri="http://schemas.openxmlformats.org/drawingml/2006/picture">
                <pic:pic>
                  <pic:nvPicPr>
                    <pic:cNvPr descr="../exports/results/Qwen-Qwen3-Embedding-4B/google_medgemma-27b-text-it/neighbor_count_sweep/best_k_panels/roc_curve_NEAREST_IMPORTANCE_WEIGHTED_alpha1_k684.png" id="120" name="Picture"/>
                    <pic:cNvPicPr>
                      <a:picLocks noChangeArrowheads="1" noChangeAspect="1"/>
                    </pic:cNvPicPr>
                  </pic:nvPicPr>
                  <pic:blipFill>
                    <a:blip r:embed="rId11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22" name="Picture"/>
            <a:graphic>
              <a:graphicData uri="http://schemas.openxmlformats.org/drawingml/2006/picture">
                <pic:pic>
                  <pic:nvPicPr>
                    <pic:cNvPr descr="../exports/results/Qwen-Qwen3-Embedding-4B/google_medgemma-27b-text-it/neighbor_count_sweep/best_k_panels/roc_curve_NEAREST_PLAIN_COSINE_alpha1_k493.png" id="123" name="Picture"/>
                    <pic:cNvPicPr>
                      <a:picLocks noChangeArrowheads="1" noChangeAspect="1"/>
                    </pic:cNvPicPr>
                  </pic:nvPicPr>
                  <pic:blipFill>
                    <a:blip r:embed="rId12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the primary encoder,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125" name="Picture"/>
            <a:graphic>
              <a:graphicData uri="http://schemas.openxmlformats.org/drawingml/2006/picture">
                <pic:pic>
                  <pic:nvPicPr>
                    <pic:cNvPr descr="../exports/results/Qwen-Qwen3-Embedding-8B/google_medgemma-27b-text-it/neighbor_count_sweep/best_k_panels/confusion_matrix_NEAREST_IMPORTANCE_WEIGHTED_alpha1_k295.png" id="126" name="Picture"/>
                    <pic:cNvPicPr>
                      <a:picLocks noChangeArrowheads="1" noChangeAspect="1"/>
                    </pic:cNvPicPr>
                  </pic:nvPicPr>
                  <pic:blipFill>
                    <a:blip r:embed="rId12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28" name="Picture"/>
            <a:graphic>
              <a:graphicData uri="http://schemas.openxmlformats.org/drawingml/2006/picture">
                <pic:pic>
                  <pic:nvPicPr>
                    <pic:cNvPr descr="../exports/results/Qwen-Qwen3-Embedding-8B/google_medgemma-27b-text-it/neighbor_count_sweep/best_k_panels/confusion_matrix_NEAREST_PLAIN_COSINE_alpha1_k757.png" id="129" name="Picture"/>
                    <pic:cNvPicPr>
                      <a:picLocks noChangeArrowheads="1" noChangeAspect="1"/>
                    </pic:cNvPicPr>
                  </pic:nvPicPr>
                  <pic:blipFill>
                    <a:blip r:embed="rId12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31" name="Picture"/>
            <a:graphic>
              <a:graphicData uri="http://schemas.openxmlformats.org/drawingml/2006/picture">
                <pic:pic>
                  <pic:nvPicPr>
                    <pic:cNvPr descr="../exports/results/Qwen-Qwen3-Embedding-8B/google_medgemma-27b-text-it/neighbor_count_sweep/best_k_panels/confusion_matrix_RANDOM_UNIFORM_k32720.png" id="132" name="Picture"/>
                    <pic:cNvPicPr>
                      <a:picLocks noChangeArrowheads="1" noChangeAspect="1"/>
                    </pic:cNvPicPr>
                  </pic:nvPicPr>
                  <pic:blipFill>
                    <a:blip r:embed="rId13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34" name="Picture"/>
            <a:graphic>
              <a:graphicData uri="http://schemas.openxmlformats.org/drawingml/2006/picture">
                <pic:pic>
                  <pic:nvPicPr>
                    <pic:cNvPr descr="../exports/results/bge-small-en-v1.5/google_medgemma-27b-text-it/neighbor_count_sweep/best_k_panels/confusion_matrix_NEAREST_IMPORTANCE_WEIGHTED_alpha1_k579.png" id="135" name="Picture"/>
                    <pic:cNvPicPr>
                      <a:picLocks noChangeArrowheads="1" noChangeAspect="1"/>
                    </pic:cNvPicPr>
                  </pic:nvPicPr>
                  <pic:blipFill>
                    <a:blip r:embed="rId13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37" name="Picture"/>
            <a:graphic>
              <a:graphicData uri="http://schemas.openxmlformats.org/drawingml/2006/picture">
                <pic:pic>
                  <pic:nvPicPr>
                    <pic:cNvPr descr="../exports/results/bge-small-en-v1.5/google_medgemma-27b-text-it/neighbor_count_sweep/best_k_panels/confusion_matrix_NEAREST_PLAIN_COSINE_alpha1_k1243.png" id="138" name="Picture"/>
                    <pic:cNvPicPr>
                      <a:picLocks noChangeArrowheads="1" noChangeAspect="1"/>
                    </pic:cNvPicPr>
                  </pic:nvPicPr>
                  <pic:blipFill>
                    <a:blip r:embed="rId13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40" name="Picture"/>
            <a:graphic>
              <a:graphicData uri="http://schemas.openxmlformats.org/drawingml/2006/picture">
                <pic:pic>
                  <pic:nvPicPr>
                    <pic:cNvPr descr="../exports/results/bge-en-icl/google_medgemma-27b-text-it/neighbor_count_sweep/best_k_panels/confusion_matrix_NEAREST_IMPORTANCE_WEIGHTED_alpha1_k1519.png" id="141" name="Picture"/>
                    <pic:cNvPicPr>
                      <a:picLocks noChangeArrowheads="1" noChangeAspect="1"/>
                    </pic:cNvPicPr>
                  </pic:nvPicPr>
                  <pic:blipFill>
                    <a:blip r:embed="rId13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43" name="Picture"/>
            <a:graphic>
              <a:graphicData uri="http://schemas.openxmlformats.org/drawingml/2006/picture">
                <pic:pic>
                  <pic:nvPicPr>
                    <pic:cNvPr descr="../exports/results/bge-en-icl/google_medgemma-27b-text-it/neighbor_count_sweep/best_k_panels/confusion_matrix_NEAREST_PLAIN_COSINE_alpha1_k413.png" id="144" name="Picture"/>
                    <pic:cNvPicPr>
                      <a:picLocks noChangeArrowheads="1" noChangeAspect="1"/>
                    </pic:cNvPicPr>
                  </pic:nvPicPr>
                  <pic:blipFill>
                    <a:blip r:embed="rId14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46" name="Picture"/>
            <a:graphic>
              <a:graphicData uri="http://schemas.openxmlformats.org/drawingml/2006/picture">
                <pic:pic>
                  <pic:nvPicPr>
                    <pic:cNvPr descr="../exports/results/Qwen-Qwen3-Embedding-4B/google_medgemma-27b-text-it/neighbor_count_sweep/best_k_panels/confusion_matrix_NEAREST_IMPORTANCE_WEIGHTED_alpha1_k684.png" id="147" name="Picture"/>
                    <pic:cNvPicPr>
                      <a:picLocks noChangeArrowheads="1" noChangeAspect="1"/>
                    </pic:cNvPicPr>
                  </pic:nvPicPr>
                  <pic:blipFill>
                    <a:blip r:embed="rId1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49" name="Picture"/>
            <a:graphic>
              <a:graphicData uri="http://schemas.openxmlformats.org/drawingml/2006/picture">
                <pic:pic>
                  <pic:nvPicPr>
                    <pic:cNvPr descr="../exports/results/Qwen-Qwen3-Embedding-4B/google_medgemma-27b-text-it/neighbor_count_sweep/best_k_panels/confusion_matrix_NEAREST_PLAIN_COSINE_alpha1_k493.png" id="150" name="Picture"/>
                    <pic:cNvPicPr>
                      <a:picLocks noChangeArrowheads="1" noChangeAspect="1"/>
                    </pic:cNvPicPr>
                  </pic:nvPicPr>
                  <pic:blipFill>
                    <a:blip r:embed="rId1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 panels’ F score is F1. These operating points were selected and evaluated in the same patients and are descriptive.</w:t>
      </w:r>
    </w:p>
    <w:bookmarkEnd w:id="151"/>
    <w:bookmarkStart w:id="164" w:name="_d34154ca455b25b1a61c40278996f88c519f5f2"/>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53" name="Picture"/>
            <a:graphic>
              <a:graphicData uri="http://schemas.openxmlformats.org/drawingml/2006/picture">
                <pic:pic>
                  <pic:nvPicPr>
                    <pic:cNvPr descr="../exports/results/notebook_figures/density_pre_anchor_history_days.png" id="154" name="Picture"/>
                    <pic:cNvPicPr>
                      <a:picLocks noChangeArrowheads="1" noChangeAspect="1"/>
                    </pic:cNvPicPr>
                  </pic:nvPicPr>
                  <pic:blipFill>
                    <a:blip r:embed="rId15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56" name="Picture"/>
            <a:graphic>
              <a:graphicData uri="http://schemas.openxmlformats.org/drawingml/2006/picture">
                <pic:pic>
                  <pic:nvPicPr>
                    <pic:cNvPr descr="../exports/results/notebook_figures/density_mdd_to_anchor_days.png" id="157" name="Picture"/>
                    <pic:cNvPicPr>
                      <a:picLocks noChangeArrowheads="1" noChangeAspect="1"/>
                    </pic:cNvPicPr>
                  </pic:nvPicPr>
                  <pic:blipFill>
                    <a:blip r:embed="rId15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C Encounter count</w:t>
      </w:r>
    </w:p>
    <w:p>
      <w:pPr>
        <w:pStyle w:val="BodyText"/>
      </w:pPr>
      <w:r>
        <w:drawing>
          <wp:inline>
            <wp:extent cx="5212080" cy="2978331"/>
            <wp:effectExtent b="0" l="0" r="0" t="0"/>
            <wp:docPr descr="" title="" id="159" name="Picture"/>
            <a:graphic>
              <a:graphicData uri="http://schemas.openxmlformats.org/drawingml/2006/picture">
                <pic:pic>
                  <pic:nvPicPr>
                    <pic:cNvPr descr="../exports/results/notebook_figures/density_num_encounters.png" id="160" name="Picture"/>
                    <pic:cNvPicPr>
                      <a:picLocks noChangeArrowheads="1" noChangeAspect="1"/>
                    </pic:cNvPicPr>
                  </pic:nvPicPr>
                  <pic:blipFill>
                    <a:blip r:embed="rId15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62" name="Picture"/>
            <a:graphic>
              <a:graphicData uri="http://schemas.openxmlformats.org/drawingml/2006/picture">
                <pic:pic>
                  <pic:nvPicPr>
                    <pic:cNvPr descr="../exports/results/review/metric_intervals/trd_rate_by_prescription_timing.png" id="163" name="Picture"/>
                    <pic:cNvPicPr>
                      <a:picLocks noChangeArrowheads="1" noChangeAspect="1"/>
                    </pic:cNvPicPr>
                  </pic:nvPicPr>
                  <pic:blipFill>
                    <a:blip r:embed="rId16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FirstParagraph"/>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64"/>
    <w:bookmarkStart w:id="165" w:name="_9cf754b10130797989fc0acedb76c13f4235cda"/>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FirstParagraph"/>
      </w:pPr>
      <w:r>
        <w:t xml:space="preserve">The measured balance supports internal comparability. It does not establish distributional identity or representativeness of the health system, because both partitions inherit the same sampling design.</w:t>
      </w:r>
    </w:p>
    <w:bookmarkEnd w:id="165"/>
    <w:bookmarkStart w:id="173" w:name="_1cd81a9d82146e44646b3d3efafb429ca92131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66" w:name="_292aabe1f1f2c597b52f00a30de6275b6dd27ea"/>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166"/>
    <w:bookmarkStart w:id="167" w:name="_28a962e901bef8a4fcaa60465b695b427d3a2f2"/>
    <w:p>
      <w:pPr>
        <w:pStyle w:val="Heading2"/>
      </w:pPr>
      <w:r>
        <w:t xml:space="preserve">S9.2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LR</w:t>
            </w:r>
          </w:p>
        </w:tc>
        <w:tc>
          <w:tcPr/>
          <w:p>
            <w:pPr>
              <w:pStyle w:val="Compact"/>
            </w:pPr>
            <w:r>
              <w:t xml:space="preserve">0.629 (0.613–0.644)</w:t>
            </w:r>
          </w:p>
        </w:tc>
        <w:tc>
          <w:tcPr/>
          <w:p>
            <w:pPr>
              <w:pStyle w:val="Compact"/>
            </w:pPr>
            <w:r>
              <w:t xml:space="preserve">0.139 (0.134–0.144)</w:t>
            </w:r>
          </w:p>
        </w:tc>
        <w:tc>
          <w:tcPr/>
          <w:p>
            <w:pPr>
              <w:pStyle w:val="Compact"/>
            </w:pPr>
            <w:r>
              <w:t xml:space="preserve">0.95 (0.84–1.05)</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LR</w:t>
            </w:r>
          </w:p>
        </w:tc>
        <w:tc>
          <w:tcPr/>
          <w:p>
            <w:pPr>
              <w:pStyle w:val="Compact"/>
            </w:pPr>
            <w:r>
              <w:t xml:space="preserve">0.626 (0.595–0.655)</w:t>
            </w:r>
          </w:p>
        </w:tc>
        <w:tc>
          <w:tcPr/>
          <w:p>
            <w:pPr>
              <w:pStyle w:val="Compact"/>
            </w:pPr>
            <w:r>
              <w:t xml:space="preserve">0.133 (0.123–0.143)</w:t>
            </w:r>
          </w:p>
        </w:tc>
        <w:tc>
          <w:tcPr/>
          <w:p>
            <w:pPr>
              <w:pStyle w:val="Compact"/>
            </w:pPr>
            <w:r>
              <w:t xml:space="preserve">0.86 (0.65–1.07)</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LR</w:t>
            </w:r>
          </w:p>
        </w:tc>
        <w:tc>
          <w:tcPr/>
          <w:p>
            <w:pPr>
              <w:pStyle w:val="Compact"/>
            </w:pPr>
            <w:r>
              <w:t xml:space="preserve">0.630 (0.612–0.648)</w:t>
            </w:r>
          </w:p>
        </w:tc>
        <w:tc>
          <w:tcPr/>
          <w:p>
            <w:pPr>
              <w:pStyle w:val="Compact"/>
            </w:pPr>
            <w:r>
              <w:t xml:space="preserve">0.141 (0.136–0.147)</w:t>
            </w:r>
          </w:p>
        </w:tc>
        <w:tc>
          <w:tcPr/>
          <w:p>
            <w:pPr>
              <w:pStyle w:val="Compact"/>
            </w:pPr>
            <w:r>
              <w:t xml:space="preserve">0.99 (0.86–1.12)</w:t>
            </w:r>
          </w:p>
        </w:tc>
        <w:tc>
          <w:tcPr/>
          <w:p>
            <w:pPr>
              <w:pStyle w:val="Compact"/>
            </w:pPr>
            <w:r>
              <w:t xml:space="preserve">+0.001 (−0.008 to +0.010)</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LR</w:t>
            </w:r>
          </w:p>
        </w:tc>
        <w:tc>
          <w:tcPr/>
          <w:p>
            <w:pPr>
              <w:pStyle w:val="Compact"/>
            </w:pPr>
            <w:r>
              <w:t xml:space="preserve">0.633 (0.615–0.652)</w:t>
            </w:r>
          </w:p>
        </w:tc>
        <w:tc>
          <w:tcPr/>
          <w:p>
            <w:pPr>
              <w:pStyle w:val="Compact"/>
            </w:pPr>
            <w:r>
              <w:t xml:space="preserve">0.137 (0.132–0.143)</w:t>
            </w:r>
          </w:p>
        </w:tc>
        <w:tc>
          <w:tcPr/>
          <w:p>
            <w:pPr>
              <w:pStyle w:val="Compact"/>
            </w:pPr>
            <w:r>
              <w:t xml:space="preserve">0.98 (0.84–1.11)</w:t>
            </w:r>
          </w:p>
        </w:tc>
        <w:tc>
          <w:tcPr/>
          <w:p>
            <w:pPr>
              <w:pStyle w:val="Compact"/>
            </w:pPr>
            <w:r>
              <w:t xml:space="preserve">+0.001 (−0.008 to +0.009)</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LR</w:t>
            </w:r>
          </w:p>
        </w:tc>
        <w:tc>
          <w:tcPr/>
          <w:p>
            <w:pPr>
              <w:pStyle w:val="Compact"/>
            </w:pPr>
            <w:r>
              <w:t xml:space="preserve">0.608 (0.573–0.643)</w:t>
            </w:r>
          </w:p>
        </w:tc>
        <w:tc>
          <w:tcPr/>
          <w:p>
            <w:pPr>
              <w:pStyle w:val="Compact"/>
            </w:pPr>
            <w:r>
              <w:t xml:space="preserve">0.147 (0.136–0.160)</w:t>
            </w:r>
          </w:p>
        </w:tc>
        <w:tc>
          <w:tcPr/>
          <w:p>
            <w:pPr>
              <w:pStyle w:val="Compact"/>
            </w:pPr>
            <w:r>
              <w:t xml:space="preserve">0.79 (0.56–1.02)</w:t>
            </w:r>
          </w:p>
        </w:tc>
        <w:tc>
          <w:tcPr/>
          <w:p>
            <w:pPr>
              <w:pStyle w:val="Compact"/>
            </w:pPr>
            <w:r>
              <w:t xml:space="preserve">−0.004 (−0.024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LR</w:t>
            </w:r>
          </w:p>
        </w:tc>
        <w:tc>
          <w:tcPr/>
          <w:p>
            <w:pPr>
              <w:pStyle w:val="Compact"/>
            </w:pPr>
            <w:r>
              <w:t xml:space="preserve">0.570 (0.524–0.615)</w:t>
            </w:r>
          </w:p>
        </w:tc>
        <w:tc>
          <w:tcPr/>
          <w:p>
            <w:pPr>
              <w:pStyle w:val="Compact"/>
            </w:pPr>
            <w:r>
              <w:t xml:space="preserve">0.160 (0.146–0.174)</w:t>
            </w:r>
          </w:p>
        </w:tc>
        <w:tc>
          <w:tcPr/>
          <w:p>
            <w:pPr>
              <w:pStyle w:val="Compact"/>
            </w:pPr>
            <w:r>
              <w:t xml:space="preserve">0.60 (0.22–0.92)</w:t>
            </w:r>
          </w:p>
        </w:tc>
        <w:tc>
          <w:tcPr/>
          <w:p>
            <w:pPr>
              <w:pStyle w:val="Compact"/>
            </w:pPr>
            <w:r>
              <w:t xml:space="preserve">+0.012 (−0.014 to +0.036)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LR</w:t>
            </w:r>
          </w:p>
        </w:tc>
        <w:tc>
          <w:tcPr/>
          <w:p>
            <w:pPr>
              <w:pStyle w:val="Compact"/>
            </w:pPr>
            <w:r>
              <w:t xml:space="preserve">0.636 (0.605–0.667)</w:t>
            </w:r>
          </w:p>
        </w:tc>
        <w:tc>
          <w:tcPr/>
          <w:p>
            <w:pPr>
              <w:pStyle w:val="Compact"/>
            </w:pPr>
            <w:r>
              <w:t xml:space="preserve">0.155 (0.145–0.167)</w:t>
            </w:r>
          </w:p>
        </w:tc>
        <w:tc>
          <w:tcPr/>
          <w:p>
            <w:pPr>
              <w:pStyle w:val="Compact"/>
            </w:pPr>
            <w:r>
              <w:t xml:space="preserve">1.00 (0.78–1.24)</w:t>
            </w:r>
          </w:p>
        </w:tc>
        <w:tc>
          <w:tcPr/>
          <w:p>
            <w:pPr>
              <w:pStyle w:val="Compact"/>
            </w:pPr>
            <w:r>
              <w:t xml:space="preserve">−0.002 (−0.020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LR</w:t>
            </w:r>
          </w:p>
        </w:tc>
        <w:tc>
          <w:tcPr/>
          <w:p>
            <w:pPr>
              <w:pStyle w:val="Compact"/>
            </w:pPr>
            <w:r>
              <w:t xml:space="preserve">0.607 (0.580–0.636)</w:t>
            </w:r>
          </w:p>
        </w:tc>
        <w:tc>
          <w:tcPr/>
          <w:p>
            <w:pPr>
              <w:pStyle w:val="Compact"/>
            </w:pPr>
            <w:r>
              <w:t xml:space="preserve">0.143 (0.133–0.151)</w:t>
            </w:r>
          </w:p>
        </w:tc>
        <w:tc>
          <w:tcPr/>
          <w:p>
            <w:pPr>
              <w:pStyle w:val="Compact"/>
            </w:pPr>
            <w:r>
              <w:t xml:space="preserve">0.88 (0.68–1.10)</w:t>
            </w:r>
          </w:p>
        </w:tc>
        <w:tc>
          <w:tcPr/>
          <w:p>
            <w:pPr>
              <w:pStyle w:val="Compact"/>
            </w:pPr>
            <w:r>
              <w:t xml:space="preserve">−0.001 (−0.014 to +0.014)</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LR</w:t>
            </w:r>
          </w:p>
        </w:tc>
        <w:tc>
          <w:tcPr/>
          <w:p>
            <w:pPr>
              <w:pStyle w:val="Compact"/>
            </w:pPr>
            <w:r>
              <w:t xml:space="preserve">0.641 (0.614–0.669)</w:t>
            </w:r>
          </w:p>
        </w:tc>
        <w:tc>
          <w:tcPr/>
          <w:p>
            <w:pPr>
              <w:pStyle w:val="Compact"/>
            </w:pPr>
            <w:r>
              <w:t xml:space="preserve">0.119 (0.110–0.127)</w:t>
            </w:r>
          </w:p>
        </w:tc>
        <w:tc>
          <w:tcPr/>
          <w:p>
            <w:pPr>
              <w:pStyle w:val="Compact"/>
            </w:pPr>
            <w:r>
              <w:t xml:space="preserve">1.18 (0.95–1.43)</w:t>
            </w:r>
          </w:p>
        </w:tc>
        <w:tc>
          <w:tcPr/>
          <w:p>
            <w:pPr>
              <w:pStyle w:val="Compact"/>
            </w:pPr>
            <w:r>
              <w:t xml:space="preserve">−0.003 (−0.016 to +0.010)</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LR</w:t>
            </w:r>
          </w:p>
        </w:tc>
        <w:tc>
          <w:tcPr/>
          <w:p>
            <w:pPr>
              <w:pStyle w:val="Compact"/>
            </w:pPr>
            <w:r>
              <w:t xml:space="preserve">0.607 (0.563–0.649)</w:t>
            </w:r>
          </w:p>
        </w:tc>
        <w:tc>
          <w:tcPr/>
          <w:p>
            <w:pPr>
              <w:pStyle w:val="Compact"/>
            </w:pPr>
            <w:r>
              <w:t xml:space="preserve">0.177 (0.159–0.194)</w:t>
            </w:r>
          </w:p>
        </w:tc>
        <w:tc>
          <w:tcPr/>
          <w:p>
            <w:pPr>
              <w:pStyle w:val="Compact"/>
            </w:pPr>
            <w:r>
              <w:t xml:space="preserve">0.85 (0.52–1.16)</w:t>
            </w:r>
          </w:p>
        </w:tc>
        <w:tc>
          <w:tcPr/>
          <w:p>
            <w:pPr>
              <w:pStyle w:val="Compact"/>
            </w:pPr>
            <w:r>
              <w:t xml:space="preserve">−0.049 (−0.077 to −0.021)</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LR</w:t>
            </w:r>
          </w:p>
        </w:tc>
        <w:tc>
          <w:tcPr/>
          <w:p>
            <w:pPr>
              <w:pStyle w:val="Compact"/>
            </w:pPr>
            <w:r>
              <w:t xml:space="preserve">0.598 (0.569–0.627)</w:t>
            </w:r>
          </w:p>
        </w:tc>
        <w:tc>
          <w:tcPr/>
          <w:p>
            <w:pPr>
              <w:pStyle w:val="Compact"/>
            </w:pPr>
            <w:r>
              <w:t xml:space="preserve">0.149 (0.140–0.159)</w:t>
            </w:r>
          </w:p>
        </w:tc>
        <w:tc>
          <w:tcPr/>
          <w:p>
            <w:pPr>
              <w:pStyle w:val="Compact"/>
            </w:pPr>
            <w:r>
              <w:t xml:space="preserve">0.72 (0.52–0.93)</w:t>
            </w:r>
          </w:p>
        </w:tc>
        <w:tc>
          <w:tcPr/>
          <w:p>
            <w:pPr>
              <w:pStyle w:val="Compact"/>
            </w:pPr>
            <w:r>
              <w:t xml:space="preserve">+0.016 (+0.000 to +0.031)</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LR</w:t>
            </w:r>
          </w:p>
        </w:tc>
        <w:tc>
          <w:tcPr/>
          <w:p>
            <w:pPr>
              <w:pStyle w:val="Compact"/>
            </w:pPr>
            <w:r>
              <w:t xml:space="preserve">0.644 (0.623–0.666)</w:t>
            </w:r>
          </w:p>
        </w:tc>
        <w:tc>
          <w:tcPr/>
          <w:p>
            <w:pPr>
              <w:pStyle w:val="Compact"/>
            </w:pPr>
            <w:r>
              <w:t xml:space="preserve">0.131 (0.124–0.138)</w:t>
            </w:r>
          </w:p>
        </w:tc>
        <w:tc>
          <w:tcPr/>
          <w:p>
            <w:pPr>
              <w:pStyle w:val="Compact"/>
            </w:pPr>
            <w:r>
              <w:t xml:space="preserve">1.10 (0.93–1.28)</w:t>
            </w:r>
          </w:p>
        </w:tc>
        <w:tc>
          <w:tcPr/>
          <w:p>
            <w:pPr>
              <w:pStyle w:val="Compact"/>
            </w:pPr>
            <w:r>
              <w:t xml:space="preserve">−0.002 (−0.013 to +0.008)</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LR</w:t>
            </w:r>
          </w:p>
        </w:tc>
        <w:tc>
          <w:tcPr/>
          <w:p>
            <w:pPr>
              <w:pStyle w:val="Compact"/>
            </w:pPr>
            <w:r>
              <w:t xml:space="preserve">0.518 (0.357–0.687)</w:t>
            </w:r>
          </w:p>
        </w:tc>
        <w:tc>
          <w:tcPr/>
          <w:p>
            <w:pPr>
              <w:pStyle w:val="Compact"/>
            </w:pPr>
            <w:r>
              <w:t xml:space="preserve">0.169 (0.117–0.220)</w:t>
            </w:r>
          </w:p>
        </w:tc>
        <w:tc>
          <w:tcPr/>
          <w:p>
            <w:pPr>
              <w:pStyle w:val="Compact"/>
            </w:pPr>
            <w:r>
              <w:t xml:space="preserve">0.30 (−1.07 to 1.63)</w:t>
            </w:r>
          </w:p>
        </w:tc>
        <w:tc>
          <w:tcPr/>
          <w:p>
            <w:pPr>
              <w:pStyle w:val="Compact"/>
            </w:pPr>
            <w:r>
              <w:t xml:space="preserve">−0.003 (−0.090 to +0.078)</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LR</w:t>
            </w:r>
          </w:p>
        </w:tc>
        <w:tc>
          <w:tcPr/>
          <w:p>
            <w:pPr>
              <w:pStyle w:val="Compact"/>
            </w:pPr>
            <w:r>
              <w:t xml:space="preserve">0.625 (0.572–0.678)</w:t>
            </w:r>
          </w:p>
        </w:tc>
        <w:tc>
          <w:tcPr/>
          <w:p>
            <w:pPr>
              <w:pStyle w:val="Compact"/>
            </w:pPr>
            <w:r>
              <w:t xml:space="preserve">0.112 (0.097–0.127)</w:t>
            </w:r>
          </w:p>
        </w:tc>
        <w:tc>
          <w:tcPr/>
          <w:p>
            <w:pPr>
              <w:pStyle w:val="Compact"/>
            </w:pPr>
            <w:r>
              <w:t xml:space="preserve">1.17 (0.76–1.61)</w:t>
            </w:r>
          </w:p>
        </w:tc>
        <w:tc>
          <w:tcPr/>
          <w:p>
            <w:pPr>
              <w:pStyle w:val="Compact"/>
            </w:pPr>
            <w:r>
              <w:t xml:space="preserve">+0.017 (−0.005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LR</w:t>
            </w:r>
          </w:p>
        </w:tc>
        <w:tc>
          <w:tcPr/>
          <w:p>
            <w:pPr>
              <w:pStyle w:val="Compact"/>
            </w:pPr>
            <w:r>
              <w:t xml:space="preserve">0.617 (0.575–0.660)</w:t>
            </w:r>
          </w:p>
        </w:tc>
        <w:tc>
          <w:tcPr/>
          <w:p>
            <w:pPr>
              <w:pStyle w:val="Compact"/>
            </w:pPr>
            <w:r>
              <w:t xml:space="preserve">0.162 (0.148–0.176)</w:t>
            </w:r>
          </w:p>
        </w:tc>
        <w:tc>
          <w:tcPr/>
          <w:p>
            <w:pPr>
              <w:pStyle w:val="Compact"/>
            </w:pPr>
            <w:r>
              <w:t xml:space="preserve">0.87 (0.61–1.15)</w:t>
            </w:r>
          </w:p>
        </w:tc>
        <w:tc>
          <w:tcPr/>
          <w:p>
            <w:pPr>
              <w:pStyle w:val="Compact"/>
            </w:pPr>
            <w:r>
              <w:t xml:space="preserve">−0.011 (−0.034 to +0.013)</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LR</w:t>
            </w:r>
          </w:p>
        </w:tc>
        <w:tc>
          <w:tcPr/>
          <w:p>
            <w:pPr>
              <w:pStyle w:val="Compact"/>
            </w:pPr>
            <w:r>
              <w:t xml:space="preserve">0.633 (0.603–0.660)</w:t>
            </w:r>
          </w:p>
        </w:tc>
        <w:tc>
          <w:tcPr/>
          <w:p>
            <w:pPr>
              <w:pStyle w:val="Compact"/>
            </w:pPr>
            <w:r>
              <w:t xml:space="preserve">0.140 (0.130–0.150)</w:t>
            </w:r>
          </w:p>
        </w:tc>
        <w:tc>
          <w:tcPr/>
          <w:p>
            <w:pPr>
              <w:pStyle w:val="Compact"/>
            </w:pPr>
            <w:r>
              <w:t xml:space="preserve">0.89 (0.69–1.10)</w:t>
            </w:r>
          </w:p>
        </w:tc>
        <w:tc>
          <w:tcPr/>
          <w:p>
            <w:pPr>
              <w:pStyle w:val="Compact"/>
            </w:pPr>
            <w:r>
              <w:t xml:space="preserve">+0.001 (−0.014 to +0.015)</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LR</w:t>
            </w:r>
          </w:p>
        </w:tc>
        <w:tc>
          <w:tcPr/>
          <w:p>
            <w:pPr>
              <w:pStyle w:val="Compact"/>
            </w:pPr>
            <w:r>
              <w:t xml:space="preserve">0.625 (0.603–0.645)</w:t>
            </w:r>
          </w:p>
        </w:tc>
        <w:tc>
          <w:tcPr/>
          <w:p>
            <w:pPr>
              <w:pStyle w:val="Compact"/>
            </w:pPr>
            <w:r>
              <w:t xml:space="preserve">0.133 (0.127–0.140)</w:t>
            </w:r>
          </w:p>
        </w:tc>
        <w:tc>
          <w:tcPr/>
          <w:p>
            <w:pPr>
              <w:pStyle w:val="Compact"/>
            </w:pPr>
            <w:r>
              <w:t xml:space="preserve">0.99 (0.82–1.13)</w:t>
            </w:r>
          </w:p>
        </w:tc>
        <w:tc>
          <w:tcPr/>
          <w:p>
            <w:pPr>
              <w:pStyle w:val="Compact"/>
            </w:pPr>
            <w:r>
              <w:t xml:space="preserve">+0.002 (−0.008 to +0.012)</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LR</w:t>
            </w:r>
          </w:p>
        </w:tc>
        <w:tc>
          <w:tcPr/>
          <w:p>
            <w:pPr>
              <w:pStyle w:val="Compact"/>
            </w:pPr>
            <w:r>
              <w:t xml:space="preserve">0.648 (0.587–0.710)</w:t>
            </w:r>
          </w:p>
        </w:tc>
        <w:tc>
          <w:tcPr/>
          <w:p>
            <w:pPr>
              <w:pStyle w:val="Compact"/>
            </w:pPr>
            <w:r>
              <w:t xml:space="preserve">0.124 (0.106–0.143)</w:t>
            </w:r>
          </w:p>
        </w:tc>
        <w:tc>
          <w:tcPr/>
          <w:p>
            <w:pPr>
              <w:pStyle w:val="Compact"/>
            </w:pPr>
            <w:r>
              <w:t xml:space="preserve">1.06 (0.63–1.54)</w:t>
            </w:r>
          </w:p>
        </w:tc>
        <w:tc>
          <w:tcPr/>
          <w:p>
            <w:pPr>
              <w:pStyle w:val="Compact"/>
            </w:pPr>
            <w:r>
              <w:t xml:space="preserve">+0.002 (−0.027 to +0.028)</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LR</w:t>
            </w:r>
          </w:p>
        </w:tc>
        <w:tc>
          <w:tcPr/>
          <w:p>
            <w:pPr>
              <w:pStyle w:val="Compact"/>
            </w:pPr>
            <w:r>
              <w:t xml:space="preserve">0.589 (0.537–0.642)</w:t>
            </w:r>
          </w:p>
        </w:tc>
        <w:tc>
          <w:tcPr/>
          <w:p>
            <w:pPr>
              <w:pStyle w:val="Compact"/>
            </w:pPr>
            <w:r>
              <w:t xml:space="preserve">0.153 (0.136–0.170)</w:t>
            </w:r>
          </w:p>
        </w:tc>
        <w:tc>
          <w:tcPr/>
          <w:p>
            <w:pPr>
              <w:pStyle w:val="Compact"/>
            </w:pPr>
            <w:r>
              <w:t xml:space="preserve">0.66 (0.30–1.00)</w:t>
            </w:r>
          </w:p>
        </w:tc>
        <w:tc>
          <w:tcPr/>
          <w:p>
            <w:pPr>
              <w:pStyle w:val="Compact"/>
            </w:pPr>
            <w:r>
              <w:t xml:space="preserve">−0.010 (−0.038 to +0.016)</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LR</w:t>
            </w:r>
          </w:p>
        </w:tc>
        <w:tc>
          <w:tcPr/>
          <w:p>
            <w:pPr>
              <w:pStyle w:val="Compact"/>
            </w:pPr>
            <w:r>
              <w:t xml:space="preserve">0.642 (0.620–0.662)</w:t>
            </w:r>
          </w:p>
        </w:tc>
        <w:tc>
          <w:tcPr/>
          <w:p>
            <w:pPr>
              <w:pStyle w:val="Compact"/>
            </w:pPr>
            <w:r>
              <w:t xml:space="preserve">0.135 (0.128–0.142)</w:t>
            </w:r>
          </w:p>
        </w:tc>
        <w:tc>
          <w:tcPr/>
          <w:p>
            <w:pPr>
              <w:pStyle w:val="Compact"/>
            </w:pPr>
            <w:r>
              <w:t xml:space="preserve">1.05 (0.88–1.19)</w:t>
            </w:r>
          </w:p>
        </w:tc>
        <w:tc>
          <w:tcPr/>
          <w:p>
            <w:pPr>
              <w:pStyle w:val="Compact"/>
            </w:pPr>
            <w:r>
              <w:t xml:space="preserve">+0.002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67"/>
    <w:bookmarkStart w:id="168" w:name="_39e8724432b3da1e325cf9b8494b081dd979d8e"/>
    <w:p>
      <w:pPr>
        <w:pStyle w:val="Heading2"/>
      </w:pPr>
      <w:r>
        <w:t xml:space="preserve">S9.3 Clinical strata</w:t>
      </w:r>
    </w:p>
    <w:p>
      <w:pPr>
        <w:pStyle w:val="FirstParagraph"/>
      </w:pPr>
      <w:r>
        <w:t xml:space="preserve">Table S11. Discrimination and calibration by recorded depression phenotype, one representative model per arm.</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LR</w:t>
            </w:r>
          </w:p>
        </w:tc>
        <w:tc>
          <w:tcPr/>
          <w:p>
            <w:pPr>
              <w:pStyle w:val="Compact"/>
            </w:pPr>
            <w:r>
              <w:t xml:space="preserve">0.607 (0.547–0.667)</w:t>
            </w:r>
          </w:p>
        </w:tc>
        <w:tc>
          <w:tcPr/>
          <w:p>
            <w:pPr>
              <w:pStyle w:val="Compact"/>
            </w:pPr>
            <w:r>
              <w:t xml:space="preserve">0.135 (0.117–0.154)</w:t>
            </w:r>
          </w:p>
        </w:tc>
        <w:tc>
          <w:tcPr/>
          <w:p>
            <w:pPr>
              <w:pStyle w:val="Compact"/>
            </w:pPr>
            <w:r>
              <w:t xml:space="preserve">0.86 (0.30–1.40)</w:t>
            </w:r>
          </w:p>
        </w:tc>
        <w:tc>
          <w:tcPr/>
          <w:p>
            <w:pPr>
              <w:pStyle w:val="Compact"/>
            </w:pPr>
            <w:r>
              <w:t xml:space="preserve">−0.018 (−0.047 to +0.010)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LR</w:t>
            </w:r>
          </w:p>
        </w:tc>
        <w:tc>
          <w:tcPr/>
          <w:p>
            <w:pPr>
              <w:pStyle w:val="Compact"/>
            </w:pPr>
            <w:r>
              <w:t xml:space="preserve">0.634 (0.599–0.670)</w:t>
            </w:r>
          </w:p>
        </w:tc>
        <w:tc>
          <w:tcPr/>
          <w:p>
            <w:pPr>
              <w:pStyle w:val="Compact"/>
            </w:pPr>
            <w:r>
              <w:t xml:space="preserve">0.142 (0.131–0.155)</w:t>
            </w:r>
          </w:p>
        </w:tc>
        <w:tc>
          <w:tcPr/>
          <w:p>
            <w:pPr>
              <w:pStyle w:val="Compact"/>
            </w:pPr>
            <w:r>
              <w:t xml:space="preserve">1.06 (0.75–1.38)</w:t>
            </w:r>
          </w:p>
        </w:tc>
        <w:tc>
          <w:tcPr/>
          <w:p>
            <w:pPr>
              <w:pStyle w:val="Compact"/>
            </w:pPr>
            <w:r>
              <w:t xml:space="preserve">+0.001 (−0.020 to +0.018)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LR</w:t>
            </w:r>
          </w:p>
        </w:tc>
        <w:tc>
          <w:tcPr/>
          <w:p>
            <w:pPr>
              <w:pStyle w:val="Compact"/>
            </w:pPr>
            <w:r>
              <w:t xml:space="preserve">0.636 (0.578–0.690)</w:t>
            </w:r>
          </w:p>
        </w:tc>
        <w:tc>
          <w:tcPr/>
          <w:p>
            <w:pPr>
              <w:pStyle w:val="Compact"/>
            </w:pPr>
            <w:r>
              <w:t xml:space="preserve">0.197 (0.181–0.212)</w:t>
            </w:r>
          </w:p>
        </w:tc>
        <w:tc>
          <w:tcPr/>
          <w:p>
            <w:pPr>
              <w:pStyle w:val="Compact"/>
            </w:pPr>
            <w:r>
              <w:t xml:space="preserve">0.88 (0.54–1.25)</w:t>
            </w:r>
          </w:p>
        </w:tc>
        <w:tc>
          <w:tcPr/>
          <w:p>
            <w:pPr>
              <w:pStyle w:val="Compact"/>
            </w:pPr>
            <w:r>
              <w:t xml:space="preserve">+0.029 (−0.008 to +0.071)</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LR</w:t>
            </w:r>
          </w:p>
        </w:tc>
        <w:tc>
          <w:tcPr/>
          <w:p>
            <w:pPr>
              <w:pStyle w:val="Compact"/>
            </w:pPr>
            <w:r>
              <w:t xml:space="preserve">0.615 (0.595–0.634)</w:t>
            </w:r>
          </w:p>
        </w:tc>
        <w:tc>
          <w:tcPr/>
          <w:p>
            <w:pPr>
              <w:pStyle w:val="Compact"/>
            </w:pPr>
            <w:r>
              <w:t xml:space="preserve">0.134 (0.128–0.141)</w:t>
            </w:r>
          </w:p>
        </w:tc>
        <w:tc>
          <w:tcPr/>
          <w:p>
            <w:pPr>
              <w:pStyle w:val="Compact"/>
            </w:pPr>
            <w:r>
              <w:t xml:space="preserve">0.98 (0.83–1.15)</w:t>
            </w:r>
          </w:p>
        </w:tc>
        <w:tc>
          <w:tcPr/>
          <w:p>
            <w:pPr>
              <w:pStyle w:val="Compact"/>
            </w:pPr>
            <w:r>
              <w:t xml:space="preserve">−0.001 (−0.011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LR</w:t>
            </w:r>
          </w:p>
        </w:tc>
        <w:tc>
          <w:tcPr/>
          <w:p>
            <w:pPr>
              <w:pStyle w:val="Compact"/>
            </w:pPr>
            <w:r>
              <w:t xml:space="preserve">0.627 (0.565–0.687)</w:t>
            </w:r>
          </w:p>
        </w:tc>
        <w:tc>
          <w:tcPr/>
          <w:p>
            <w:pPr>
              <w:pStyle w:val="Compact"/>
            </w:pPr>
            <w:r>
              <w:t xml:space="preserve">0.134 (0.116–0.153)</w:t>
            </w:r>
          </w:p>
        </w:tc>
        <w:tc>
          <w:tcPr/>
          <w:p>
            <w:pPr>
              <w:pStyle w:val="Compact"/>
            </w:pPr>
            <w:r>
              <w:t xml:space="preserve">1.13 (0.59–1.75)</w:t>
            </w:r>
          </w:p>
        </w:tc>
        <w:tc>
          <w:tcPr/>
          <w:p>
            <w:pPr>
              <w:pStyle w:val="Compact"/>
            </w:pPr>
            <w:r>
              <w:t xml:space="preserve">+0.010 (−0.020 to +0.038)</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LR</w:t>
            </w:r>
          </w:p>
        </w:tc>
        <w:tc>
          <w:tcPr/>
          <w:p>
            <w:pPr>
              <w:pStyle w:val="Compact"/>
            </w:pPr>
            <w:r>
              <w:t xml:space="preserve">0.676 (0.648–0.703)</w:t>
            </w:r>
          </w:p>
        </w:tc>
        <w:tc>
          <w:tcPr/>
          <w:p>
            <w:pPr>
              <w:pStyle w:val="Compact"/>
            </w:pPr>
            <w:r>
              <w:t xml:space="preserve">0.148 (0.139–0.158)</w:t>
            </w:r>
          </w:p>
        </w:tc>
        <w:tc>
          <w:tcPr/>
          <w:p>
            <w:pPr>
              <w:pStyle w:val="Compact"/>
            </w:pPr>
            <w:r>
              <w:t xml:space="preserve">1.07 (0.90–1.26)</w:t>
            </w:r>
          </w:p>
        </w:tc>
        <w:tc>
          <w:tcPr/>
          <w:p>
            <w:pPr>
              <w:pStyle w:val="Compact"/>
            </w:pPr>
            <w:r>
              <w:t xml:space="preserve">−0.002 (−0.018 to +0.014)</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LR</w:t>
            </w:r>
          </w:p>
        </w:tc>
        <w:tc>
          <w:tcPr/>
          <w:p>
            <w:pPr>
              <w:pStyle w:val="Compact"/>
            </w:pPr>
            <w:r>
              <w:t xml:space="preserve">0.605 (0.584–0.626)</w:t>
            </w:r>
          </w:p>
        </w:tc>
        <w:tc>
          <w:tcPr/>
          <w:p>
            <w:pPr>
              <w:pStyle w:val="Compact"/>
            </w:pPr>
            <w:r>
              <w:t xml:space="preserve">0.136 (0.130–0.143)</w:t>
            </w:r>
          </w:p>
        </w:tc>
        <w:tc>
          <w:tcPr/>
          <w:p>
            <w:pPr>
              <w:pStyle w:val="Compact"/>
            </w:pPr>
            <w:r>
              <w:t xml:space="preserve">0.83 (0.67–0.99)</w:t>
            </w:r>
          </w:p>
        </w:tc>
        <w:tc>
          <w:tcPr/>
          <w:p>
            <w:pPr>
              <w:pStyle w:val="Compact"/>
            </w:pPr>
            <w:r>
              <w:t xml:space="preserve">−0.000 (−0.011 to +0.009)</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68"/>
    <w:bookmarkStart w:id="172" w:name="_aa5878e662582edeb6724e193a7afb1567e98b0"/>
    <w:p>
      <w:pPr>
        <w:pStyle w:val="Heading2"/>
      </w:pPr>
      <w:r>
        <w:t xml:space="preserve">S9.4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FirstParagraph"/>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70" name="Picture"/>
            <a:graphic>
              <a:graphicData uri="http://schemas.openxmlformats.org/drawingml/2006/picture">
                <pic:pic>
                  <pic:nvPicPr>
                    <pic:cNvPr descr="../exports/results/review/subgroups/subgroup_forest.png" id="171" name="Picture"/>
                    <pic:cNvPicPr>
                      <a:picLocks noChangeArrowheads="1" noChangeAspect="1"/>
                    </pic:cNvPicPr>
                  </pic:nvPicPr>
                  <pic:blipFill>
                    <a:blip r:embed="rId169"/>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172"/>
    <w:bookmarkEnd w:id="173"/>
    <w:bookmarkStart w:id="174" w:name="_e650b54780c89be4b61c8e79b27209b39a2bb9d"/>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per-class trial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FirstParagraph"/>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74"/>
    <w:bookmarkStart w:id="175" w:name="_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(95% CI 17.6–18.4) among female and 16.2% (95% CI 15.6–16.9) among male patients. It declined across age groups: 20.6% (95% CI 19.5–21.7) at 18–29 years (1,135/5,513), 20.3% (95% CI 19.5–21.2) at 30–44 (1,836/9,025), 18.4% (95% CI 17.8–19.1) at 45–64 (2,445/13,268), and 13.8% (95% CI 13.3–14.4) at 65 or older (2,039/14,773). Selected social-determinant strata had higher frequencies: upbringing-related issues, 33.0% (95% CI 27.3–39.3); legal issues, 26.1% (95% CI 18.9–34.8); employment issues, 24.0% (95% CI 17.9–31.4); and family or support-group issues, 22.9% (95% CI 20.0–26.2). Small counts limit these comparisons. Missing race/ethnicity was associated with a frequency of 15.5% (46/297; 95% CI 11.8–20.0), versus 17.5% (95% CI 17.2–17.9)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75"/>
    <w:bookmarkStart w:id="206" w:name="_3b319a28540a2eebde7c4dc81a578fb022a8db8"/>
    <w:p>
      <w:pPr>
        <w:pStyle w:val="Heading1"/>
      </w:pPr>
      <w:r>
        <w:t xml:space="preserve">S12 Additional Model Diagnostics and Encoder Estimates</w:t>
      </w:r>
    </w:p>
    <w:bookmarkStart w:id="188" w:name="_5b8a779de4102ca75eefec1c07ca7681b858af1"/>
    <w:p>
      <w:pPr>
        <w:pStyle w:val="Heading2"/>
      </w:pPr>
      <w:r>
        <w:t xml:space="preserve">S12.1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77" name="Picture"/>
            <a:graphic>
              <a:graphicData uri="http://schemas.openxmlformats.org/drawingml/2006/picture">
                <pic:pic>
                  <pic:nvPicPr>
                    <pic:cNvPr descr="../exports/results/Qwen-Qwen3-Embedding-8B/google_medgemma-27b-text-it/roc_curves/roc_curve_logistic_regression_EMBEDDED.png" id="178" name="Picture"/>
                    <pic:cNvPicPr>
                      <a:picLocks noChangeArrowheads="1" noChangeAspect="1"/>
                    </pic:cNvPicPr>
                  </pic:nvPicPr>
                  <pic:blipFill>
                    <a:blip r:embed="rId17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0" name="Picture"/>
            <a:graphic>
              <a:graphicData uri="http://schemas.openxmlformats.org/drawingml/2006/picture">
                <pic:pic>
                  <pic:nvPicPr>
                    <pic:cNvPr descr="../exports/results/Qwen-Qwen3-Embedding-8B/google_medgemma-27b-text-it/roc_curves/roc_curve_xgboost_FEATURE.png" id="181" name="Picture"/>
                    <pic:cNvPicPr>
                      <a:picLocks noChangeArrowheads="1" noChangeAspect="1"/>
                    </pic:cNvPicPr>
                  </pic:nvPicPr>
                  <pic:blipFill>
                    <a:blip r:embed="rId1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83" name="Picture"/>
            <a:graphic>
              <a:graphicData uri="http://schemas.openxmlformats.org/drawingml/2006/picture">
                <pic:pic>
                  <pic:nvPicPr>
                    <pic:cNvPr descr="../exports/results/Qwen-Qwen3-Embedding-8B/google_medgemma-27b-text-it/confusion_matrices/confusion_matrix_logistic_regression_EMBEDDED.png" id="184" name="Picture"/>
                    <pic:cNvPicPr>
                      <a:picLocks noChangeArrowheads="1" noChangeAspect="1"/>
                    </pic:cNvPicPr>
                  </pic:nvPicPr>
                  <pic:blipFill>
                    <a:blip r:embed="rId18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6" name="Picture"/>
            <a:graphic>
              <a:graphicData uri="http://schemas.openxmlformats.org/drawingml/2006/picture">
                <pic:pic>
                  <pic:nvPicPr>
                    <pic:cNvPr descr="../exports/results/Qwen-Qwen3-Embedding-8B/google_medgemma-27b-text-it/confusion_matrices/confusion_matrix_xgboost_FEATURE.png" id="187" name="Picture"/>
                    <pic:cNvPicPr>
                      <a:picLocks noChangeArrowheads="1" noChangeAspect="1"/>
                    </pic:cNvPicPr>
                  </pic:nvPicPr>
                  <pic:blipFill>
                    <a:blip r:embed="rId1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the panels’ F score is F1. TRD refers to the treatment-switching proxy.</w:t>
      </w:r>
    </w:p>
    <w:bookmarkEnd w:id="188"/>
    <w:bookmarkStart w:id="201" w:name="_5a6a39393feced4ecfd88c612f38c214cb95258"/>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90" name="Picture"/>
            <a:graphic>
              <a:graphicData uri="http://schemas.openxmlformats.org/drawingml/2006/picture">
                <pic:pic>
                  <pic:nvPicPr>
                    <pic:cNvPr descr="../exports/results/Qwen-Qwen3-Embedding-8B/google_medgemma-27b-text-it/feature_importance/feature_importance_logistic_regression.png" id="191" name="Picture"/>
                    <pic:cNvPicPr>
                      <a:picLocks noChangeArrowheads="1" noChangeAspect="1"/>
                    </pic:cNvPicPr>
                  </pic:nvPicPr>
                  <pic:blipFill>
                    <a:blip r:embed="rId18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93" name="Picture"/>
            <a:graphic>
              <a:graphicData uri="http://schemas.openxmlformats.org/drawingml/2006/picture">
                <pic:pic>
                  <pic:nvPicPr>
                    <pic:cNvPr descr="../exports/results/Qwen-Qwen3-Embedding-8B/google_medgemma-27b-text-it/feature_importance/feature_importance_random_forest.png" id="194" name="Picture"/>
                    <pic:cNvPicPr>
                      <a:picLocks noChangeArrowheads="1" noChangeAspect="1"/>
                    </pic:cNvPicPr>
                  </pic:nvPicPr>
                  <pic:blipFill>
                    <a:blip r:embed="rId1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196" name="Picture"/>
            <a:graphic>
              <a:graphicData uri="http://schemas.openxmlformats.org/drawingml/2006/picture">
                <pic:pic>
                  <pic:nvPicPr>
                    <pic:cNvPr descr="../exports/results/Qwen-Qwen3-Embedding-8B/google_medgemma-27b-text-it/feature_importance/feature_importance_gradient_boosting.png" id="197" name="Picture"/>
                    <pic:cNvPicPr>
                      <a:picLocks noChangeArrowheads="1" noChangeAspect="1"/>
                    </pic:cNvPicPr>
                  </pic:nvPicPr>
                  <pic:blipFill>
                    <a:blip r:embed="rId19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99" name="Picture"/>
            <a:graphic>
              <a:graphicData uri="http://schemas.openxmlformats.org/drawingml/2006/picture">
                <pic:pic>
                  <pic:nvPicPr>
                    <pic:cNvPr descr="../exports/results/Qwen-Qwen3-Embedding-8B/google_medgemma-27b-text-it/feature_importance/feature_importance_xgboost.png" id="200" name="Picture"/>
                    <pic:cNvPicPr>
                      <a:picLocks noChangeArrowheads="1" noChangeAspect="1"/>
                    </pic:cNvPicPr>
                  </pic:nvPicPr>
                  <pic:blipFill>
                    <a:blip r:embed="rId19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201"/>
    <w:bookmarkStart w:id="205" w:name="_9c90e6317a1eb1fb56099f7747be04e13f0dc6a"/>
    <w:p>
      <w:pPr>
        <w:pStyle w:val="Heading2"/>
      </w:pPr>
      <w:r>
        <w:t xml:space="preserve">S12.3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203" name="Picture"/>
            <a:graphic>
              <a:graphicData uri="http://schemas.openxmlformats.org/drawingml/2006/picture">
                <pic:pic>
                  <pic:nvPicPr>
                    <pic:cNvPr descr="../exports/results/Qwen-Qwen3-Embedding-8B/google_medgemma-27b-text-it/ablation_roc_ci_EMBEDDED.png" id="204" name="Picture"/>
                    <pic:cNvPicPr>
                      <a:picLocks noChangeArrowheads="1" noChangeAspect="1"/>
                    </pic:cNvPicPr>
                  </pic:nvPicPr>
                  <pic:blipFill>
                    <a:blip r:embed="rId202"/>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05"/>
    <w:bookmarkEnd w:id="206"/>
    <w:bookmarkStart w:id="207"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6" Target="media/rId86.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95" Target="media/rId195.png" /><Relationship Type="http://schemas.openxmlformats.org/officeDocument/2006/relationships/image" Id="rId189" Target="media/rId189.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192" Target="media/rId192.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61" Target="media/rId161.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2026-10-06T11:34:56Z</dcterms:created>
  <dcterms:modified xsi:type="dcterms:W3CDTF">2026-10-06T11:34:56Z</dcterms:modified>
</cp:coreProperties>
</file>

<file path=docProps/custom.xml><?xml version="1.0" encoding="utf-8"?>
<Properties xmlns="http://schemas.openxmlformats.org/officeDocument/2006/custom-properties" xmlns:vt="http://schemas.openxmlformats.org/officeDocument/2006/docPropsVTypes"/>
</file>