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9724d63a374f37e83c5b6127c4588ff3f9dd5d"/>
    <w:p>
      <w:pPr>
        <w:pStyle w:val="Heading1"/>
      </w:pPr>
      <w:r>
        <w:t xml:space="preserve">CAUSAL IDENTIFICATION STRATEGY — TRD Causal-Forest Supplement</w:t>
      </w:r>
    </w:p>
    <w:p>
      <w:pPr>
        <w:pStyle w:val="FirstParagraph"/>
      </w:pPr>
      <w:r>
        <w:t xml:space="preserve">A reading of Angrist &amp; Pischke,</w:t>
      </w:r>
      <w:r>
        <w:t xml:space="preserve"> </w:t>
      </w:r>
      <w:r>
        <w:rPr>
          <w:iCs/>
          <w:i/>
        </w:rPr>
        <w:t xml:space="preserve">Mostly Harmless Econometrics</w:t>
      </w:r>
      <w:r>
        <w:t xml:space="preserve"> </w:t>
      </w:r>
      <w:r>
        <w:t xml:space="preserve">(MHE), against this</w:t>
      </w:r>
      <w:r>
        <w:t xml:space="preserve"> </w:t>
      </w:r>
      <w:r>
        <w:t xml:space="preserve">project’s causal arm. Written so a future session can act on the conclusions without</w:t>
      </w:r>
      <w:r>
        <w:t xml:space="preserve"> </w:t>
      </w:r>
      <w:r>
        <w:t xml:space="preserve">re-reading the book — only opening the specific sections named below when the math is</w:t>
      </w:r>
      <w:r>
        <w:t xml:space="preserve"> </w:t>
      </w:r>
      <w:r>
        <w:t xml:space="preserve">needed. Page numbers are the book’s printed page numbers (the PDF is offset by +17:</w:t>
      </w:r>
      <w:r>
        <w:t xml:space="preserve"> </w:t>
      </w:r>
      <w:r>
        <w:t xml:space="preserve">book p.83 = PDF p.100).</w:t>
      </w:r>
    </w:p>
    <w:p>
      <w:pPr>
        <w:pStyle w:val="BodyText"/>
      </w:pPr>
      <w:r>
        <w:t xml:space="preserve">NOTE TO FUTURE EDITORS (INCLUDING CLAUDE): This is a CONCLUSIONS + STRATEGY document,</w:t>
      </w:r>
      <w:r>
        <w:t xml:space="preserve"> </w:t>
      </w:r>
      <w:r>
        <w:t xml:space="preserve">not a task tracker. It records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causal results are weak and</w:t>
      </w:r>
      <w:r>
        <w:t xml:space="preserve"> </w:t>
      </w:r>
      <w:r>
        <w:rPr>
          <w:iCs/>
          <w:i/>
        </w:rPr>
        <w:t xml:space="preserve">what the book says</w:t>
      </w:r>
      <w:r>
        <w:rPr>
          <w:iCs/>
          <w:i/>
        </w:rPr>
        <w:t xml:space="preserve"> </w:t>
      </w:r>
      <w:r>
        <w:rPr>
          <w:iCs/>
          <w:i/>
        </w:rPr>
        <w:t xml:space="preserve">to do about it</w:t>
      </w:r>
      <w:r>
        <w:t xml:space="preserve">. It is stable reference, not a checklist — do not delete sections as</w:t>
      </w:r>
      <w:r>
        <w:t xml:space="preserve"> </w:t>
      </w:r>
      <w:r>
        <w:t xml:space="preserve">“</w:t>
      </w:r>
      <w:r>
        <w:t xml:space="preserve">done.</w:t>
      </w:r>
      <w:r>
        <w:t xml:space="preserve">”</w:t>
      </w:r>
      <w:r>
        <w:t xml:space="preserve"> </w:t>
      </w:r>
      <w:r>
        <w:t xml:space="preserve">If the science changes (e.g. a prescriber instrument is found and an IV/LATE arm</w:t>
      </w:r>
      <w:r>
        <w:t xml:space="preserve"> </w:t>
      </w:r>
      <w:r>
        <w:t xml:space="preserve">is built), append a dated revision at the bottom rather than rewriting history. The</w:t>
      </w:r>
      <w:r>
        <w:t xml:space="preserve"> </w:t>
      </w:r>
      <w:r>
        <w:t xml:space="preserve">companion action list lives in writeup/TODO.txt under</w:t>
      </w:r>
      <w:r>
        <w:t xml:space="preserve"> </w:t>
      </w:r>
      <w:r>
        <w:t xml:space="preserve">“</w:t>
      </w:r>
      <w:r>
        <w:t xml:space="preserve">CAUSAL FOREST — Target Trial 1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This file is designed to be SELF-SUFFICIENT: reading it alone — without consulting the</w:t>
      </w:r>
      <w:r>
        <w:t xml:space="preserve"> </w:t>
      </w:r>
      <w:r>
        <w:t xml:space="preserve">memory store — is enough to (a) understand the identification problem and strategy, and</w:t>
      </w:r>
      <w:r>
        <w:t xml:space="preserve"> </w:t>
      </w:r>
      <w:r>
        <w:t xml:space="preserve">(b) RESUME the live tutoring thread. Section 8 carries the tutoring curriculum, teaching</w:t>
      </w:r>
      <w:r>
        <w:t xml:space="preserve"> </w:t>
      </w:r>
      <w:r>
        <w:t xml:space="preserve">style, and the currently pending exercise; keep its STATE block current after each lesson.</w:t>
      </w:r>
      <w:r>
        <w:t xml:space="preserve"> </w:t>
      </w:r>
      <w:r>
        <w:t xml:space="preserve">Math is written in Unicode plain text (not LaTeX) because the user reads in a terminal.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0. BOTTOM LINE (read this first)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The estimator was never the problem; the IDENTIFICATION is.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DRTester</w:t>
      </w:r>
      <w:r>
        <w:t xml:space="preserve"> </w:t>
      </w:r>
      <w:r>
        <w:t xml:space="preserve">is a sophisticated way of enforcing one assumption — the Conditional</w:t>
      </w:r>
      <w:r>
        <w:t xml:space="preserve"> </w:t>
      </w:r>
      <w:r>
        <w:t xml:space="preserve">Independence Assumption (CIA, a.k.a. selection-on-observables) — that confounding by</w:t>
      </w:r>
      <w:r>
        <w:t xml:space="preserve"> </w:t>
      </w:r>
      <w:r>
        <w:t xml:space="preserve">indication almost certainly violates. Consequences:</w:t>
      </w:r>
      <w:r>
        <w:t xml:space="preserve"> </w:t>
      </w:r>
      <w:r>
        <w:t xml:space="preserve">- The ATE’s SIGN is uninterpretable (sickest patients get the aggressive arm AND</w:t>
      </w:r>
      <w:r>
        <w:t xml:space="preserve"> </w:t>
      </w:r>
      <w:r>
        <w:t xml:space="preserve">progress to TRD; DML only deconfounds through MEASURED covariates).</w:t>
      </w:r>
      <w:r>
        <w:t xml:space="preserve"> </w:t>
      </w:r>
      <w:r>
        <w:t xml:space="preserve">- The CATE heterogeneity signal is faint because it is a second-order signal (effect</w:t>
      </w:r>
      <w:r>
        <w:t xml:space="preserve"> </w:t>
      </w:r>
      <w:r>
        <w:t xml:space="preserve">must exist, vary with measured X, AND satisfy the CIA) sitting on a noisy binary</w:t>
      </w:r>
      <w:r>
        <w:t xml:space="preserve"> </w:t>
      </w:r>
      <w:r>
        <w:t xml:space="preserve">outcome with a high-variance doubly-robust score.</w:t>
      </w:r>
      <w:r>
        <w:t xml:space="preserve"> </w:t>
      </w:r>
      <w:r>
        <w:t xml:space="preserve">- The one apparent</w:t>
      </w:r>
      <w:r>
        <w:t xml:space="preserve"> </w:t>
      </w:r>
      <w:r>
        <w:t xml:space="preserve">“</w:t>
      </w:r>
      <w:r>
        <w:t xml:space="preserve">hit</w:t>
      </w:r>
      <w:r>
        <w:t xml:space="preserve">”</w:t>
      </w:r>
      <w:r>
        <w:t xml:space="preserve"> </w:t>
      </w:r>
      <w:r>
        <w:t xml:space="preserve">(SSRI-vs-SNRI BLP) is dominated by illness-burden proxies</w:t>
      </w:r>
      <w:r>
        <w:t xml:space="preserve"> </w:t>
      </w:r>
      <w:r>
        <w:t xml:space="preserve">(num_encounters, age) — i.e. confounding wearing a heterogeneity costume.</w:t>
      </w:r>
    </w:p>
    <w:p>
      <w:pPr>
        <w:pStyle w:val="BodyText"/>
      </w:pPr>
      <w:r>
        <w:t xml:space="preserve">The single highest-value move the book prescribes is CHAPTER 4: find a prescriber /</w:t>
      </w:r>
      <w:r>
        <w:t xml:space="preserve"> </w:t>
      </w:r>
      <w:r>
        <w:t xml:space="preserve">clinic PREFERENCE INSTRUMENT and estimate a LATE among compliers. Absent an instrument,</w:t>
      </w:r>
      <w:r>
        <w:t xml:space="preserve"> </w:t>
      </w:r>
      <w:r>
        <w:t xml:space="preserve">everything else (sensitivity bounds, negative controls, balance tables, ATT reframing,</w:t>
      </w:r>
      <w:r>
        <w:t xml:space="preserve"> </w:t>
      </w:r>
      <w:r>
        <w:t xml:space="preserve">honest nulls) is damage control that makes the observational story defensible but cannot</w:t>
      </w:r>
      <w:r>
        <w:t xml:space="preserve"> </w:t>
      </w:r>
      <w:r>
        <w:t xml:space="preserve">manufacture a causal signal that is not in the data.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1. WHAT THE PIPELINE IS, IN MHE’S LANGUAGE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MHE predates causal forests, so</w:t>
      </w:r>
      <w:r>
        <w:t xml:space="preserve"> </w:t>
      </w:r>
      <w:r>
        <w:t xml:space="preserve">“</w:t>
      </w:r>
      <w:r>
        <w:t xml:space="preserve">causal forest</w:t>
      </w:r>
      <w:r>
        <w:t xml:space="preserve">”</w:t>
      </w:r>
      <w:r>
        <w:t xml:space="preserve"> </w:t>
      </w:r>
      <w:r>
        <w:t xml:space="preserve">is not in the index. Strip the machinery</w:t>
      </w:r>
      <w:r>
        <w:t xml:space="preserve"> </w:t>
      </w:r>
      <w:r>
        <w:t xml:space="preserve">and every load-bearing assumption is Chapter 3: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model_t</w:t>
      </w:r>
      <w:r>
        <w:t xml:space="preserve"> </w:t>
      </w:r>
      <w:r>
        <w:t xml:space="preserve">(propensity e(X)) +</w:t>
      </w:r>
      <w:r>
        <w:t xml:space="preserve"> </w:t>
      </w:r>
      <w:r>
        <w:rPr>
          <w:rStyle w:val="VerbatimChar"/>
        </w:rPr>
        <w:t xml:space="preserve">model_y</w:t>
      </w:r>
      <w:r>
        <w:t xml:space="preserve"> </w:t>
      </w:r>
      <w:r>
        <w:t xml:space="preserve">exist to make the CIA hold. The forest is a</w:t>
      </w:r>
      <w:r>
        <w:t xml:space="preserve"> </w:t>
      </w:r>
      <w:r>
        <w:t xml:space="preserve">flexible way of</w:t>
      </w:r>
      <w:r>
        <w:t xml:space="preserve"> </w:t>
      </w:r>
      <w:r>
        <w:t xml:space="preserve">“</w:t>
      </w:r>
      <w:r>
        <w:t xml:space="preserve">conditioning on X.</w:t>
      </w:r>
      <w:r>
        <w:t xml:space="preserve">”</w:t>
      </w:r>
      <w:r>
        <w:t xml:space="preserve"> </w:t>
      </w:r>
      <w:r>
        <w:t xml:space="preserve">(§3.2.1, pp.38–44)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passes_overlap</w:t>
      </w:r>
      <w:r>
        <w:t xml:space="preserve"> </w:t>
      </w:r>
      <w:r>
        <w:t xml:space="preserve">(the 0.10/0.90 band in core.py) is the common-support / POSITIVITY</w:t>
      </w:r>
      <w:r>
        <w:t xml:space="preserve"> </w:t>
      </w:r>
      <w:r>
        <w:t xml:space="preserve">requirement. (§3.3.2–3.3.3, pp.59–65)</w:t>
      </w:r>
    </w:p>
    <w:p>
      <w:pPr>
        <w:numPr>
          <w:ilvl w:val="0"/>
          <w:numId w:val="1001"/>
        </w:numPr>
        <w:pStyle w:val="Compact"/>
      </w:pPr>
      <w:r>
        <w:t xml:space="preserve">The active-comparator pairwise design (SSRI vs SNRI, never drug-vs-nothing) is the</w:t>
      </w:r>
      <w:r>
        <w:t xml:space="preserve"> </w:t>
      </w:r>
      <w:r>
        <w:t xml:space="preserve">book’s core instinct: make the two groups as alike as possible so the SELECTION-BIAS</w:t>
      </w:r>
      <w:r>
        <w:t xml:space="preserve"> </w:t>
      </w:r>
      <w:r>
        <w:t xml:space="preserve">term (eq. 3.2.1, p.40) is as small as possible. The mentor’s CRF doc and MHE say the</w:t>
      </w:r>
      <w:r>
        <w:t xml:space="preserve"> </w:t>
      </w:r>
      <w:r>
        <w:t xml:space="preserve">identical thing.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forest.ate()</w:t>
      </w:r>
      <w:r>
        <w:t xml:space="preserve"> </w:t>
      </w:r>
      <w:r>
        <w:t xml:space="preserve">= E[Y1 − Y0] (eq. 3.2.3); per-patient CATE = the X-conditional version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embarrassment of riches</w:t>
      </w:r>
      <w:r>
        <w:t xml:space="preserve">”</w:t>
      </w:r>
      <w:r>
        <w:t xml:space="preserve"> </w:t>
      </w:r>
      <w:r>
        <w:t xml:space="preserve">of X-specific effects, p.42).</w:t>
      </w:r>
    </w:p>
    <w:p>
      <w:pPr>
        <w:numPr>
          <w:ilvl w:val="0"/>
          <w:numId w:val="1001"/>
        </w:numPr>
        <w:pStyle w:val="Compact"/>
      </w:pPr>
      <w:r>
        <w:t xml:space="preserve">The DR pseudo-outcome Γ that</w:t>
      </w:r>
      <w:r>
        <w:t xml:space="preserve"> </w:t>
      </w:r>
      <w:r>
        <w:rPr>
          <w:rStyle w:val="VerbatimChar"/>
        </w:rPr>
        <w:t xml:space="preserve">evaluate_blp</w:t>
      </w:r>
      <w:r>
        <w:t xml:space="preserve"> </w:t>
      </w:r>
      <w:r>
        <w:t xml:space="preserve">plots on the y-axis is the AIPW estimating</w:t>
      </w:r>
      <w:r>
        <w:t xml:space="preserve"> </w:t>
      </w:r>
      <w:r>
        <w:t xml:space="preserve">equation (§4 below). The forest’s τ̂(X) is the x-axis being validated against it.</w:t>
      </w:r>
    </w:p>
    <w:p>
      <w:pPr>
        <w:pStyle w:val="FirstParagraph"/>
      </w:pPr>
      <w:r>
        <w:t xml:space="preserve">Directly relevant sections: §3.2.1 (CIA), §3.2.2 (OVB), §3.3.1–3.3.3 (matching, propensity,</w:t>
      </w:r>
      <w:r>
        <w:t xml:space="preserve"> </w:t>
      </w:r>
      <w:r>
        <w:t xml:space="preserve">propensity-vs-regression), all of Ch.4 (IV/LATE). NOT relevant: Ch.5 (DiD/panel — no policy</w:t>
      </w:r>
      <w:r>
        <w:t xml:space="preserve"> </w:t>
      </w:r>
      <w:r>
        <w:t xml:space="preserve">shock, no panel), Ch.6 (RD — no running variable). Ch.8 (clustered SEs) matters only if a</w:t>
      </w:r>
      <w:r>
        <w:t xml:space="preserve"> </w:t>
      </w:r>
      <w:r>
        <w:t xml:space="preserve">prescriber-level design is adopted.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2. FEATURE-TIMING AUDIT —</w:t>
      </w:r>
      <w:r>
        <w:t xml:space="preserve"> </w:t>
      </w:r>
      <w:r>
        <w:t xml:space="preserve">“</w:t>
      </w:r>
      <w:r>
        <w:t xml:space="preserve">BAD CONTROL</w:t>
      </w:r>
      <w:r>
        <w:t xml:space="preserve">”</w:t>
      </w:r>
      <w:r>
        <w:t xml:space="preserve"> </w:t>
      </w:r>
      <w:r>
        <w:t xml:space="preserve">IS ALREADY AVOIDED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Checked scripts/data_loading/features.py.</w:t>
      </w:r>
      <w:r>
        <w:t xml:space="preserve"> </w:t>
      </w:r>
      <w:r>
        <w:rPr>
          <w:rStyle w:val="VerbatimChar"/>
        </w:rPr>
        <w:t xml:space="preserve">polypharmacy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benzo_days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prior_adequate_trials</w:t>
      </w:r>
      <w:r>
        <w:t xml:space="preserve"> </w:t>
      </w:r>
      <w:r>
        <w:t xml:space="preserve">(the trials_* counts),</w:t>
      </w:r>
      <w:r>
        <w:t xml:space="preserve"> </w:t>
      </w:r>
      <w:r>
        <w:rPr>
          <w:rStyle w:val="VerbatimChar"/>
        </w:rPr>
        <w:t xml:space="preserve">psych_utilization</w:t>
      </w:r>
      <w:r>
        <w:t xml:space="preserve"> </w:t>
      </w:r>
      <w:r>
        <w:t xml:space="preserve">(in_patient_days,</w:t>
      </w:r>
      <w:r>
        <w:t xml:space="preserve"> </w:t>
      </w:r>
      <w:r>
        <w:t xml:space="preserve">num_emergency), and</w:t>
      </w:r>
      <w:r>
        <w:t xml:space="preserve"> </w:t>
      </w:r>
      <w:r>
        <w:rPr>
          <w:rStyle w:val="VerbatimChar"/>
        </w:rPr>
        <w:t xml:space="preserve">augmentation_flag</w:t>
      </w:r>
      <w:r>
        <w:t xml:space="preserve"> </w:t>
      </w:r>
      <w:r>
        <w:t xml:space="preserve">all clamp intervals to min(0, end) and require</w:t>
      </w:r>
      <w:r>
        <w:t xml:space="preserve"> </w:t>
      </w:r>
      <w:r>
        <w:t xml:space="preserve">start &lt;= 0. EVERY covariate is measured at or before the anchor (t=0). Therefore the</w:t>
      </w:r>
      <w:r>
        <w:t xml:space="preserve"> </w:t>
      </w:r>
      <w:r>
        <w:t xml:space="preserve">classic immortal-time / bad-control trap (MHE §3.2.3, pp.47–51: never condition on a</w:t>
      </w:r>
      <w:r>
        <w:t xml:space="preserve"> </w:t>
      </w:r>
      <w:r>
        <w:t xml:space="preserve">variable that is itself an OUTCOME of the treatment) is NOT the cause of the weak results.</w:t>
      </w:r>
      <w:r>
        <w:t xml:space="preserve"> </w:t>
      </w:r>
      <w:r>
        <w:t xml:space="preserve">The trials_* covariates are PRIOR adequate trials (treatment history), not post-index</w:t>
      </w:r>
      <w:r>
        <w:t xml:space="preserve"> </w:t>
      </w:r>
      <w:r>
        <w:t xml:space="preserve">consequences — legitimate controls. This is a genuine strength of the current build; do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it. The problem is upstream of controls: it is the CIA itself.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3. WHY THE RESULTS ARE UNDERWHELMING — THREE DIAGNOSES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(a) THE BINDING CONSTRAINT IS THE CIA, NOT THE FOREST. MHE p.46:</w:t>
      </w:r>
      <w:r>
        <w:t xml:space="preserve"> </w:t>
      </w:r>
      <w:r>
        <w:t xml:space="preserve">“</w:t>
      </w:r>
      <w:r>
        <w:t xml:space="preserve">if you claim an absence</w:t>
      </w:r>
      <w:r>
        <w:t xml:space="preserve"> </w:t>
      </w:r>
      <w:r>
        <w:t xml:space="preserve">of omitted variables bias, then you’re saying the regression you’ve got is the one you</w:t>
      </w:r>
      <w:r>
        <w:t xml:space="preserve"> </w:t>
      </w:r>
      <w:r>
        <w:t xml:space="preserve">want.</w:t>
      </w:r>
      <w:r>
        <w:t xml:space="preserve">”</w:t>
      </w:r>
      <w:r>
        <w:t xml:space="preserve"> </w:t>
      </w:r>
      <w:r>
        <w:t xml:space="preserve">You cannot claim that here. Confounding by indication leaves a non-zero</w:t>
      </w:r>
      <w:r>
        <w:t xml:space="preserve"> </w:t>
      </w:r>
      <w:r>
        <w:t xml:space="preserve">selection-bias term in eq. 3.2.1 that 63 measured covariates do not zero out, because</w:t>
      </w:r>
      <w:r>
        <w:t xml:space="preserve"> </w:t>
      </w:r>
      <w:r>
        <w:t xml:space="preserve">severity is only partially observed. No amount of forest flexibility repairs an unmet</w:t>
      </w:r>
      <w:r>
        <w:t xml:space="preserve"> </w:t>
      </w:r>
      <w:r>
        <w:t xml:space="preserve">CIA.</w:t>
      </w:r>
    </w:p>
    <w:p>
      <w:pPr>
        <w:numPr>
          <w:ilvl w:val="0"/>
          <w:numId w:val="1002"/>
        </w:numPr>
      </w:pPr>
      <w:r>
        <w:t xml:space="preserve">HETEROGENEITY IS SECOND-ORDER AND THE DR SCORE IS NOISY ON A BINARY OUTCOME. Detecting</w:t>
      </w:r>
      <w:r>
        <w:t xml:space="preserve"> </w:t>
      </w:r>
      <w:r>
        <w:t xml:space="preserve">CATE variation needs the effect to exist, to vary with MEASURED X, and the CIA to hold,</w:t>
      </w:r>
      <w:r>
        <w:t xml:space="preserve"> </w:t>
      </w:r>
      <w:r>
        <w:t xml:space="preserve">all at once. The AIPW score carries a 1/(e(1−e)) inflation factor that explodes near the</w:t>
      </w:r>
      <w:r>
        <w:t xml:space="preserve"> </w:t>
      </w:r>
      <w:r>
        <w:t xml:space="preserve">overlap floor; on a 0/1 outcome the linear-probability-model heteroskedasticity point</w:t>
      </w:r>
      <w:r>
        <w:t xml:space="preserve"> </w:t>
      </w:r>
      <w:r>
        <w:t xml:space="preserve">(§3.1.3, p.36) compounds it. Near-zero calibration R² and mostly non-significant BLP is</w:t>
      </w:r>
      <w:r>
        <w:t xml:space="preserve"> </w:t>
      </w:r>
      <w:r>
        <w:t xml:space="preserve">the EXPECTED outcome of that combination, not a bug.</w:t>
      </w:r>
    </w:p>
    <w:p>
      <w:pPr>
        <w:numPr>
          <w:ilvl w:val="0"/>
          <w:numId w:val="1002"/>
        </w:numPr>
      </w:pPr>
      <w:r>
        <w:t xml:space="preserve">THE ONE HIT IS CONFOUNDING IN DISGUISE. In the (now-void) stale run the only significant</w:t>
      </w:r>
      <w:r>
        <w:t xml:space="preserve"> </w:t>
      </w:r>
      <w:r>
        <w:t xml:space="preserve">BLP was SSRI-vs-SNRI, and the moderator dominating SHAP + subgroup Spearman was</w:t>
      </w:r>
      <w:r>
        <w:t xml:space="preserve"> </w:t>
      </w:r>
      <w:r>
        <w:t xml:space="preserve">num_encounters (rho ~ -0.50) and AgeInYears — illness-burden / utilization proxies. The</w:t>
      </w:r>
      <w:r>
        <w:t xml:space="preserve"> </w:t>
      </w:r>
      <w:r>
        <w:t xml:space="preserve">OVB formula (§3.2.2) predicts exactly this: the forest reads residual</w:t>
      </w:r>
      <w:r>
        <w:t xml:space="preserve"> </w:t>
      </w:r>
      <w:r>
        <w:t xml:space="preserve">confounding-by-indication structure and reports it as effect modification.</w:t>
      </w:r>
    </w:p>
    <w:p>
      <w:pPr>
        <w:pStyle w:val="FirstParagraph"/>
      </w:pPr>
      <w:r>
        <w:t xml:space="preserve">CAVEAT: all specific numbers above are from the OLD cohort and are VOID (see TODO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OVERHAUL</w:t>
      </w:r>
      <w:r>
        <w:t xml:space="preserve">”</w:t>
      </w:r>
      <w:r>
        <w:t xml:space="preserve">). The STRUCTURAL reasons the signal stays weak will survive re-derivation.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4. THE KEY MATH, STATED SO THE BOOK IS OPTIONAL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Potential outcomes: for a binary treatment D (here: comparison arm = 1), each patient has</w:t>
      </w:r>
      <w:r>
        <w:t xml:space="preserve"> </w:t>
      </w:r>
      <w:r>
        <w:t xml:space="preserve">Y1 (outcome if treated) and Y0 (outcome if control); we observe Y = Y0 + (Y1 − Y0)D and</w:t>
      </w:r>
      <w:r>
        <w:t xml:space="preserve"> </w:t>
      </w:r>
      <w:r>
        <w:t xml:space="preserve">never both potential outcomes.</w:t>
      </w:r>
    </w:p>
    <w:p>
      <w:pPr>
        <w:pStyle w:val="BodyText"/>
      </w:pPr>
      <w:r>
        <w:t xml:space="preserve">4.1 SELECTION-BIAS DECOMPOSITION (eq. 3.2.1, p.40). The naive group difference splits as</w:t>
      </w:r>
      <w:r>
        <w:t xml:space="preserve"> </w:t>
      </w:r>
      <w:r>
        <w:t xml:space="preserve">E[Y|D=1] − E[Y|D=0]</w:t>
      </w:r>
      <w:r>
        <w:t xml:space="preserve"> </w:t>
      </w:r>
      <w:r>
        <w:t xml:space="preserve">= E[Y1 − Y0 | D=1] (ATT: average effect on the treated)</w:t>
      </w:r>
      <w:r>
        <w:t xml:space="preserve"> </w:t>
      </w:r>
      <w:r>
        <w:t xml:space="preserve">+ ( E[Y0|D=1] − E[Y0|D=0] ) (SELECTION BIAS: gap in baseline potential outcome).</w:t>
      </w:r>
      <w:r>
        <w:t xml:space="preserve"> </w:t>
      </w:r>
      <w:r>
        <w:t xml:space="preserve">Randomization kills the second term. Conditioning on X kills it only IF the CIA holds.</w:t>
      </w:r>
    </w:p>
    <w:p>
      <w:pPr>
        <w:pStyle w:val="BodyText"/>
      </w:pPr>
      <w:r>
        <w:t xml:space="preserve">4.2 CIA (eq. 3.2.2 / the general</w:t>
      </w:r>
      <w:r>
        <w:t xml:space="preserve"> </w:t>
      </w:r>
      <w:r>
        <w:t xml:space="preserve">“</w:t>
      </w:r>
      <w:r>
        <w:t xml:space="preserve">CIA</w:t>
      </w:r>
      <w:r>
        <w:t xml:space="preserve">”</w:t>
      </w:r>
      <w:r>
        <w:t xml:space="preserve"> </w:t>
      </w:r>
      <w:r>
        <w:t xml:space="preserve">line, pp.40–41): {Y0, Y1} ⫫ D | X.</w:t>
      </w:r>
      <w:r>
        <w:t xml:space="preserve"> </w:t>
      </w:r>
      <w:r>
        <w:t xml:space="preserve">Then E[Y|X,D=1] − E[Y|X,D=0] = E[Y1 − Y0 | X] = τ(X), the CATE.</w:t>
      </w:r>
      <w:r>
        <w:t xml:space="preserve"> </w:t>
      </w:r>
      <w:r>
        <w:t xml:space="preserve">“</w:t>
      </w:r>
      <w:r>
        <w:t xml:space="preserve">D is as good as randomly</w:t>
      </w:r>
      <w:r>
        <w:t xml:space="preserve"> </w:t>
      </w:r>
      <w:r>
        <w:t xml:space="preserve">assigned conditional on X.</w:t>
      </w:r>
      <w:r>
        <w:t xml:space="preserve">”</w:t>
      </w:r>
      <w:r>
        <w:t xml:space="preserve"> </w:t>
      </w:r>
      <w:r>
        <w:t xml:space="preserve">This is the ONE assumption the whole forest rests on.</w:t>
      </w:r>
    </w:p>
    <w:p>
      <w:pPr>
        <w:pStyle w:val="BodyText"/>
      </w:pPr>
      <w:r>
        <w:t xml:space="preserve">4.3 OMITTED-VARIABLES-BIAS FORMULA (eq. 3.2.11, p.45). For a short vs long regression,</w:t>
      </w:r>
      <w:r>
        <w:t xml:space="preserve"> </w:t>
      </w:r>
      <w:r>
        <w:t xml:space="preserve">Cov(Y,s)/V(s) = ρ + γ’ δ_{As},</w:t>
      </w:r>
      <w:r>
        <w:t xml:space="preserve"> </w:t>
      </w:r>
      <w:r>
        <w:t xml:space="preserve">verbally: SHORT = LONG + (effect of omitted) × (regression of omitted on included). This</w:t>
      </w:r>
      <w:r>
        <w:t xml:space="preserve"> </w:t>
      </w:r>
      <w:r>
        <w:t xml:space="preserve">is why controlling for illness-burden proxies moves coefficients, and why leftover</w:t>
      </w:r>
      <w:r>
        <w:t xml:space="preserve"> </w:t>
      </w:r>
      <w:r>
        <w:t xml:space="preserve">unmeasured severity biases both the ATE and the apparent heterogeneity.</w:t>
      </w:r>
    </w:p>
    <w:p>
      <w:pPr>
        <w:pStyle w:val="BodyText"/>
      </w:pPr>
      <w:r>
        <w:t xml:space="preserve">4.4 AIPW / DOUBLY-ROBUST SCORE (the Γ inside DRTester / evaluate_blp). With outcome models</w:t>
      </w:r>
      <w:r>
        <w:t xml:space="preserve"> </w:t>
      </w:r>
      <w:r>
        <w:t xml:space="preserve">μ1(X)=E[Y|X,D=1], μ0(X)=E[Y|X,D=0] and propensity e(X)=P(D=1|X):</w:t>
      </w:r>
      <w:r>
        <w:t xml:space="preserve"> </w:t>
      </w:r>
      <w:r>
        <w:t xml:space="preserve">Γ_i = ( μ1(X_i) − μ0(X_i) )</w:t>
      </w:r>
      <w:r>
        <w:t xml:space="preserve"> </w:t>
      </w:r>
      <w:r>
        <w:t xml:space="preserve">+ D_i (Y_i − μ1(X_i)) / e(X_i)</w:t>
      </w:r>
      <w:r>
        <w:t xml:space="preserve"> </w:t>
      </w:r>
      <w:r>
        <w:t xml:space="preserve">− (1 − D_i)(Y_i − μ0(X_i)) / (1 − e(X_i)).</w:t>
      </w:r>
      <w:r>
        <w:t xml:space="preserve"> </w:t>
      </w:r>
      <w:r>
        <w:t xml:space="preserve">DOUBLE ROBUSTNESS: E[Γ | X] = τ(X) if EITHER the μ’s OR e is correctly specified. The</w:t>
      </w:r>
      <w:r>
        <w:t xml:space="preserve"> </w:t>
      </w:r>
      <w:r>
        <w:t xml:space="preserve">BLP test regresses Γ on the forest’s τ̂(X); slope ~1 and positive means the forest’s</w:t>
      </w:r>
      <w:r>
        <w:t xml:space="preserve"> </w:t>
      </w:r>
      <w:r>
        <w:t xml:space="preserve">heterogeneity is real. Variance of Γ blows up as e → 0 or 1 — the reason for the overlap</w:t>
      </w:r>
      <w:r>
        <w:t xml:space="preserve"> </w:t>
      </w:r>
      <w:r>
        <w:t xml:space="preserve">floor and for the noisy near-zero calibration. NOTE: τ̂(X) is NOT inside Γ; the two-arm</w:t>
      </w:r>
      <w:r>
        <w:t xml:space="preserve"> </w:t>
      </w:r>
      <w:r>
        <w:t xml:space="preserve">“</w:t>
      </w:r>
      <w:r>
        <w:t xml:space="preserve">clusters</w:t>
      </w:r>
      <w:r>
        <w:t xml:space="preserve">”</w:t>
      </w:r>
      <w:r>
        <w:t xml:space="preserve"> </w:t>
      </w:r>
      <w:r>
        <w:t xml:space="preserve">in the BLP scatter are the +1/e (treated) vs −1/(1−e) (control) correction</w:t>
      </w:r>
      <w:r>
        <w:t xml:space="preserve"> </w:t>
      </w:r>
      <w:r>
        <w:t xml:space="preserve">bands, i.e. benign AIPW structure, not a bug.</w:t>
      </w:r>
    </w:p>
    <w:p>
      <w:pPr>
        <w:pStyle w:val="BodyText"/>
      </w:pPr>
      <w:r>
        <w:t xml:space="preserve">4.5 LATE THEOREM (Theorem 4.4.1, p.114) — the escape hatch. Instrument Z, treatment D,</w:t>
      </w:r>
      <w:r>
        <w:t xml:space="preserve"> </w:t>
      </w:r>
      <w:r>
        <w:t xml:space="preserve">potential treatment-take D1 (if Z=1) and D0 (if Z=0). Assume:</w:t>
      </w:r>
      <w:r>
        <w:t xml:space="preserve"> </w:t>
      </w:r>
      <w:r>
        <w:t xml:space="preserve">(A1 Independence) {Y(d,z) for all d,z; D1, D0} ⫫ Z.</w:t>
      </w:r>
      <w:r>
        <w:t xml:space="preserve"> </w:t>
      </w:r>
      <w:r>
        <w:t xml:space="preserve">(A2 Exclusion) Y(d,0) = Y(d,1) ≡ Y_d for d=0,1 (Z acts only through D).</w:t>
      </w:r>
      <w:r>
        <w:t xml:space="preserve"> </w:t>
      </w:r>
      <w:r>
        <w:t xml:space="preserve">(A3 First stage) E[D1 − D0] ≠ 0.</w:t>
      </w:r>
      <w:r>
        <w:t xml:space="preserve"> </w:t>
      </w:r>
      <w:r>
        <w:t xml:space="preserve">(A4 Monotonicity) D1 ≥ D0 for all i (no</w:t>
      </w:r>
      <w:r>
        <w:t xml:space="preserve"> </w:t>
      </w:r>
      <w:r>
        <w:t xml:space="preserve">“</w:t>
      </w:r>
      <w:r>
        <w:t xml:space="preserve">defiers</w:t>
      </w:r>
      <w:r>
        <w:t xml:space="preserve">”</w:t>
      </w:r>
      <w:r>
        <w:t xml:space="preserve">), or ≤ for all i.</w:t>
      </w:r>
      <w:r>
        <w:t xml:space="preserve"> </w:t>
      </w:r>
      <w:r>
        <w:t xml:space="preserve">Then the Wald estimand equals the effect on COMPLIERS:</w:t>
      </w:r>
      <w:r>
        <w:t xml:space="preserve"> </w:t>
      </w:r>
      <w:r>
        <w:t xml:space="preserve">( E[Y|Z=1] − E[Y|Z=0] ) / ( E[D|Z=1] − E[D|Z=0] ) = E[Y1 − Y0 | D1 &gt; D0] = LATE.</w:t>
      </w:r>
      <w:r>
        <w:t xml:space="preserve"> </w:t>
      </w:r>
      <w:r>
        <w:t xml:space="preserve">Subpopulations (§4.4.2, p.117): COMPLIERS (D1=1,D0=0), ALWAYS-TAKERS (D1=D0=1),</w:t>
      </w:r>
      <w:r>
        <w:t xml:space="preserve"> </w:t>
      </w:r>
      <w:r>
        <w:t xml:space="preserve">NEVER-TAKERS (D1=D0=0). LATE says nothing about always/never-takers, so in general</w:t>
      </w:r>
      <w:r>
        <w:t xml:space="preserve"> </w:t>
      </w:r>
      <w:r>
        <w:t xml:space="preserve">LATE ≠ ATE ≠ ATT. It is a LOCAL, internally-valid parameter; external validity is a</w:t>
      </w:r>
      <w:r>
        <w:t xml:space="preserve"> </w:t>
      </w:r>
      <w:r>
        <w:t xml:space="preserve">separate question (pp.111–112). Weak first stage (§4.1.3, p.100) makes IV useless — check</w:t>
      </w:r>
      <w:r>
        <w:t xml:space="preserve"> </w:t>
      </w:r>
      <w:r>
        <w:t xml:space="preserve">it before believing anything.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5. STRATEGIES TO ADOPT, RANKED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A. PREFERENCE-BASED INSTRUMENT → LATE (Ch.4; the headline move). Instrument = prescriber</w:t>
      </w:r>
      <w:r>
        <w:t xml:space="preserve"> </w:t>
      </w:r>
      <w:r>
        <w:t xml:space="preserve">or clinic PRESCRIBING PREFERENCE (e.g. the class the provider gave their PREVIOUS MDD</w:t>
      </w:r>
      <w:r>
        <w:t xml:space="preserve"> </w:t>
      </w:r>
      <w:r>
        <w:t xml:space="preserve">patient, or the provider’s baseline-period class rate). Requirements to defend, in order:</w:t>
      </w:r>
      <w:r>
        <w:t xml:space="preserve"> </w:t>
      </w:r>
      <w:r>
        <w:t xml:space="preserve">- First stage / relevance (§4.1, §4.1.3): the provider’s lean must strongly shift THIS</w:t>
      </w:r>
      <w:r>
        <w:t xml:space="preserve"> </w:t>
      </w:r>
      <w:r>
        <w:t xml:space="preserve">patient’s class. Verify empirically; a marginal first stage gives useless estimates.</w:t>
      </w:r>
      <w:r>
        <w:t xml:space="preserve"> </w:t>
      </w:r>
      <w:r>
        <w:t xml:space="preserve">- Independence (§4.4, eq. 4.4.2): which provider a patient lands on is plausibly</w:t>
      </w:r>
      <w:r>
        <w:t xml:space="preserve"> </w:t>
      </w:r>
      <w:r>
        <w:t xml:space="preserve">as-good-as-random w.r.t. unmeasured severity, conditional on clinic/covariates.</w:t>
      </w:r>
      <w:r>
        <w:t xml:space="preserve"> </w:t>
      </w:r>
      <w:r>
        <w:t xml:space="preserve">- Exclusion (Thm 4.4.1 A2): provider preference affects TRD ONLY through the drug chosen.</w:t>
      </w:r>
      <w:r>
        <w:t xml:space="preserve"> </w:t>
      </w:r>
      <w:r>
        <w:t xml:space="preserve">- Monotonicity (A4): a provider’s SNRI lean never makes a patient LESS likely to get SNRI.</w:t>
      </w:r>
      <w:r>
        <w:t xml:space="preserve"> </w:t>
      </w:r>
      <w:r>
        <w:t xml:space="preserve">Payoff: a clean LATE among compliers (marginal patients whose class was swayed by</w:t>
      </w:r>
      <w:r>
        <w:t xml:space="preserve"> </w:t>
      </w:r>
      <w:r>
        <w:t xml:space="preserve">preference) where you currently have a confounded ATE. State the two mandatory caveats:</w:t>
      </w:r>
      <w:r>
        <w:t xml:space="preserve"> </w:t>
      </w:r>
      <w:r>
        <w:t xml:space="preserve">LATE is local to compliers, and it is silent on always/never-takers.</w:t>
      </w:r>
      <w:r>
        <w:t xml:space="preserve"> </w:t>
      </w:r>
      <w:r>
        <w:t xml:space="preserve">PREREQUISITE: a prescriber/department identifier must survive into the medication records</w:t>
      </w:r>
      <w:r>
        <w:t xml:space="preserve"> </w:t>
      </w:r>
      <w:r>
        <w:t xml:space="preserve">(check MDD_MED_DATE_CSV_PATH source + encounters). If it does not, strategy A is dead and</w:t>
      </w:r>
      <w:r>
        <w:t xml:space="preserve"> </w:t>
      </w:r>
      <w:r>
        <w:t xml:space="preserve">B–E are the ceiling.</w:t>
      </w:r>
    </w:p>
    <w:p>
      <w:pPr>
        <w:pStyle w:val="BodyText"/>
      </w:pPr>
      <w:r>
        <w:t xml:space="preserve">B. IF NO INSTRUMENT: perfect the design, stop overselling heterogeneity.</w:t>
      </w:r>
      <w:r>
        <w:t xml:space="preserve"> </w:t>
      </w:r>
      <w:r>
        <w:t xml:space="preserve">- Keep the active-comparator new-user design (exactly what §3.2–3.3 endorses).</w:t>
      </w:r>
      <w:r>
        <w:t xml:space="preserve"> </w:t>
      </w:r>
      <w:r>
        <w:t xml:space="preserve">- BOUND the unmeasured confounding instead of assuming it away: Rosenbaum sensitivity</w:t>
      </w:r>
      <w:r>
        <w:t xml:space="preserve"> </w:t>
      </w:r>
      <w:r>
        <w:t xml:space="preserve">bounds or an E-value (</w:t>
      </w:r>
      <w:r>
        <w:t xml:space="preserve">“</w:t>
      </w:r>
      <w:r>
        <w:t xml:space="preserve">how strong must an unmeasured confounder be to overturn this?</w:t>
      </w:r>
      <w:r>
        <w:t xml:space="preserve">”</w:t>
      </w:r>
      <w:r>
        <w:t xml:space="preserve">).</w:t>
      </w:r>
      <w:r>
        <w:t xml:space="preserve"> </w:t>
      </w:r>
      <w:r>
        <w:t xml:space="preserve">MHE §3.2.2 (OVB) is the intuition; the E-value is the modern operationalization.</w:t>
      </w:r>
      <w:r>
        <w:t xml:space="preserve"> </w:t>
      </w:r>
      <w:r>
        <w:t xml:space="preserve">- NEGATIVE-CONTROL OUTCOME: pick an outcome the class contrast cannot plausibly cause; if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effect</w:t>
      </w:r>
      <w:r>
        <w:t xml:space="preserve">”</w:t>
      </w:r>
      <w:r>
        <w:t xml:space="preserve"> </w:t>
      </w:r>
      <w:r>
        <w:t xml:space="preserve">appears there, the CIA is falsified. (Mentor already floated NSAID as a</w:t>
      </w:r>
      <w:r>
        <w:t xml:space="preserve"> </w:t>
      </w:r>
      <w:r>
        <w:t xml:space="preserve">negative-control variable — same logic, applied to outcomes.)</w:t>
      </w:r>
    </w:p>
    <w:p>
      <w:pPr>
        <w:pStyle w:val="BodyText"/>
      </w:pPr>
      <w:r>
        <w:t xml:space="preserve">C. HARDEN THE ATE VIA THE OVERLAP LENS (§3.3.2–3.3.3). The book’s verdict (§3.3.3, pp.63–65):</w:t>
      </w:r>
      <w:r>
        <w:t xml:space="preserve"> </w:t>
      </w:r>
      <w:r>
        <w:t xml:space="preserve">propensity methods and regression usually agree; the payoff is OVERLAP, not the estimator.</w:t>
      </w:r>
      <w:r>
        <w:t xml:space="preserve"> </w:t>
      </w:r>
      <w:r>
        <w:t xml:space="preserve">So trim more aggressively than the 0.10 floor and REPORT A COVARIATE-BALANCE TABLE in the</w:t>
      </w:r>
      <w:r>
        <w:t xml:space="preserve"> </w:t>
      </w:r>
      <w:r>
        <w:t xml:space="preserve">trimmed/weighted two-arm sample (Table 3.3.1 template, p.54). Won’t create signal; makes</w:t>
      </w:r>
      <w:r>
        <w:t xml:space="preserve"> </w:t>
      </w:r>
      <w:r>
        <w:t xml:space="preserve">the ATE credible to reviewers.</w:t>
      </w:r>
    </w:p>
    <w:p>
      <w:pPr>
        <w:pStyle w:val="BodyText"/>
      </w:pPr>
      <w:r>
        <w:t xml:space="preserve">D. CHANGE THE ESTIMAND TO ONE THE DATA SUPPORTS (ATT, not population CATE). MHE distinguishes</w:t>
      </w:r>
      <w:r>
        <w:t xml:space="preserve"> </w:t>
      </w:r>
      <w:r>
        <w:t xml:space="preserve">population ATE from the effect on the treated (ATT, eq. 3.2.5). The minority arm</w:t>
      </w:r>
      <w:r>
        <w:t xml:space="preserve"> </w:t>
      </w:r>
      <w:r>
        <w:t xml:space="preserve">(bupropion / SNRI initiators, N &gt;= 4,768) is both policy-relevant (</w:t>
      </w:r>
      <w:r>
        <w:t xml:space="preserve">“</w:t>
      </w:r>
      <w:r>
        <w:t xml:space="preserve">who actually got</w:t>
      </w:r>
      <w:r>
        <w:t xml:space="preserve"> </w:t>
      </w:r>
      <w:r>
        <w:t xml:space="preserve">switched</w:t>
      </w:r>
      <w:r>
        <w:t xml:space="preserve">”</w:t>
      </w:r>
      <w:r>
        <w:t xml:space="preserve">) and better powered than a population-wide CATE surface.</w:t>
      </w:r>
    </w:p>
    <w:p>
      <w:pPr>
        <w:pStyle w:val="BodyText"/>
      </w:pPr>
      <w:r>
        <w:t xml:space="preserve">E. REPORT THE NULL HONESTLY. Weak/absent heterogeneity, stated cleanly with the CIA caveat,</w:t>
      </w:r>
      <w:r>
        <w:t xml:space="preserve"> </w:t>
      </w:r>
      <w:r>
        <w:t xml:space="preserve">is a legitimate finding — the book’s whole temperament favors a credible null over an</w:t>
      </w:r>
      <w:r>
        <w:t xml:space="preserve"> </w:t>
      </w:r>
      <w:r>
        <w:t xml:space="preserve">incredible positive. If the prescriber route is taken, cluster SEs by prescriber/clinic</w:t>
      </w:r>
      <w:r>
        <w:t xml:space="preserve"> </w:t>
      </w:r>
      <w:r>
        <w:t xml:space="preserve">(Ch.8, Moulton factor, pp.231–238).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6. WHAT TO READ, IN ORDER (section + page map)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§3.2.1 Conditional Independence Assumption ……….. pp.38–44 (name your core assumption)</w:t>
      </w:r>
      <w:r>
        <w:t xml:space="preserve"> </w:t>
      </w:r>
      <w:r>
        <w:t xml:space="preserve">§3.2.2 Omitted Variables Bias formula ……………. pp.44–47 (why leftover severity bites)</w:t>
      </w:r>
      <w:r>
        <w:t xml:space="preserve"> </w:t>
      </w:r>
      <w:r>
        <w:t xml:space="preserve">§3.2.3 Bad Control …………………………….. pp.47–51 (confirm you avoided it)</w:t>
      </w:r>
      <w:r>
        <w:t xml:space="preserve"> </w:t>
      </w:r>
      <w:r>
        <w:t xml:space="preserve">§3.3.1–3.3.3 Matching / Propensity / vs Regression … pp.51–65 (estimator barely matters; overlap does)</w:t>
      </w:r>
      <w:r>
        <w:t xml:space="preserve"> </w:t>
      </w:r>
      <w:r>
        <w:t xml:space="preserve">§4.1 IV and causality (first stage, reduced form) .. pp.84–90 (the instrument mechanics)</w:t>
      </w:r>
      <w:r>
        <w:t xml:space="preserve"> </w:t>
      </w:r>
      <w:r>
        <w:t xml:space="preserve">§4.1.3 Weak-instrument caveat …………………… p.100 (check first stage or quit)</w:t>
      </w:r>
      <w:r>
        <w:t xml:space="preserve"> </w:t>
      </w:r>
      <w:r>
        <w:t xml:space="preserve">§4.4.1–4.4.2 LATE + complier subpopulation ……….. pp.111–119 (the actual pivot)</w:t>
      </w:r>
      <w:r>
        <w:t xml:space="preserve"> </w:t>
      </w:r>
      <w:r>
        <w:t xml:space="preserve">Ch.8 Clustered SEs (Moulton) ………………….. pp.231–238 (only if prescriber design)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7. OPEN QUESTIONS / PREREQUISITES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- [PREREQ for Strategy A] Does a prescriber / ordering-provider / department identifier</w:t>
      </w:r>
      <w:r>
        <w:t xml:space="preserve"> </w:t>
      </w:r>
      <w:r>
        <w:t xml:space="preserve">exist in the medication or encounter source tables? This gates the entire IV/LATE pivot.</w:t>
      </w:r>
      <w:r>
        <w:t xml:space="preserve"> </w:t>
      </w:r>
      <w:r>
        <w:t xml:space="preserve">- If yes: is there enough within-provider variation and a strong enough first stage</w:t>
      </w:r>
      <w:r>
        <w:t xml:space="preserve"> </w:t>
      </w:r>
      <w:r>
        <w:t xml:space="preserve">(providers who genuinely split across classes) to build a preference instrument?</w:t>
      </w:r>
      <w:r>
        <w:t xml:space="preserve"> </w:t>
      </w:r>
      <w:r>
        <w:t xml:space="preserve">- Independence threat to log: are patients triaged to particular prescribers BY severity</w:t>
      </w:r>
      <w:r>
        <w:t xml:space="preserve"> </w:t>
      </w:r>
      <w:r>
        <w:t xml:space="preserve">(e.g. sickest routed to specialists)? If so, condition on clinic/covariates and argue</w:t>
      </w:r>
      <w:r>
        <w:t xml:space="preserve"> </w:t>
      </w:r>
      <w:r>
        <w:t xml:space="preserve">residual as-good-as-random assignment — or the exclusion/independence story collapses.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8. TUTORING THREAD (live lesson state — keep current)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The user is being taught the econometrics in sections 1–5 above, tutor-style. This section</w:t>
      </w:r>
      <w:r>
        <w:t xml:space="preserve"> </w:t>
      </w:r>
      <w:r>
        <w:t xml:space="preserve">is the resumable state so any session can continue teaching from this file alone.</w:t>
      </w:r>
    </w:p>
    <w:p>
      <w:pPr>
        <w:pStyle w:val="BodyText"/>
      </w:pPr>
      <w:r>
        <w:t xml:space="preserve">STYLE / LEVEL (do not violate):</w:t>
      </w:r>
      <w:r>
        <w:t xml:space="preserve"> </w:t>
      </w:r>
      <w:r>
        <w:t xml:space="preserve">- CS + applied-math double major. Give real derivations and proofs; use adult examples,</w:t>
      </w:r>
      <w:r>
        <w:t xml:space="preserve"> </w:t>
      </w:r>
      <w:r>
        <w:t xml:space="preserve">NOT baby examples.</w:t>
      </w:r>
      <w:r>
        <w:t xml:space="preserve"> </w:t>
      </w:r>
      <w:r>
        <w:t xml:space="preserve">- Claude does ALL the reading (writeup/Mostly Harmless Econometrics.pdf). The user will</w:t>
      </w:r>
      <w:r>
        <w:t xml:space="preserve"> </w:t>
      </w:r>
      <w:r>
        <w:t xml:space="preserve">not read the book; that is the tutor’s job.</w:t>
      </w:r>
      <w:r>
        <w:t xml:space="preserve"> </w:t>
      </w:r>
      <w:r>
        <w:t xml:space="preserve">- ONE concept per turn; the user does the work; end each turn with exactly ONE exercise;</w:t>
      </w:r>
      <w:r>
        <w:t xml:space="preserve"> </w:t>
      </w:r>
      <w:r>
        <w:t xml:space="preserve">GRADE it before advancing. If wrong, re-teach the same point from a fresh angle.</w:t>
      </w:r>
      <w:r>
        <w:t xml:space="preserve"> </w:t>
      </w:r>
      <w:r>
        <w:t xml:space="preserve">- Write math in UNICODE plain text, never LaTeX (the terminal renders markdown, not LaTeX:</w:t>
      </w:r>
      <w:r>
        <w:t xml:space="preserve"> </w:t>
      </w:r>
      <m:oMath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shows as raw source). Use subscripts (Y₀ᵢ, Y₁ᵢ), operators (⟂ × ≥ ≈ ≠ → τ μ Σ √),</w:t>
      </w:r>
      <w:r>
        <w:t xml:space="preserve"> </w:t>
      </w:r>
      <w:r>
        <w:t xml:space="preserve">E[·]. Markdown tables render fine. For unavoidably heavy math, offer a rendered Artifact.</w:t>
      </w:r>
    </w:p>
    <w:p>
      <w:pPr>
        <w:pStyle w:val="BodyText"/>
      </w:pPr>
      <w:r>
        <w:t xml:space="preserve">CURRICULUM (mirrors the reading map in section 6, in order):</w:t>
      </w:r>
      <w:r>
        <w:t xml:space="preserve"> </w:t>
      </w:r>
      <w:r>
        <w:t xml:space="preserve">1. Selection-bias decomposition (eq 3.2.1) — naive contrast = ATT + selection bias.</w:t>
      </w:r>
      <w:r>
        <w:t xml:space="preserve"> </w:t>
      </w:r>
      <w:r>
        <w:t xml:space="preserve">2. CIA as a matching estimator (§3.2.1, §3.3.1) — what</w:t>
      </w:r>
      <w:r>
        <w:t xml:space="preserve"> </w:t>
      </w:r>
      <w:r>
        <w:t xml:space="preserve">“</w:t>
      </w:r>
      <w:r>
        <w:t xml:space="preserve">condition on X</w:t>
      </w:r>
      <w:r>
        <w:t xml:space="preserve">”</w:t>
      </w:r>
      <w:r>
        <w:t xml:space="preserve"> </w:t>
      </w:r>
      <w:r>
        <w:t xml:space="preserve">actually buys.</w:t>
      </w:r>
      <w:r>
        <w:t xml:space="preserve"> </w:t>
      </w:r>
      <w:r>
        <w:t xml:space="preserve">3. OVB formula (§3.2.2) — short = long + bias; the leftover-severity problem.</w:t>
      </w:r>
      <w:r>
        <w:t xml:space="preserve"> </w:t>
      </w:r>
      <w:r>
        <w:t xml:space="preserve">4. Overlap/positivity + the AIPW/DR score Γ — ties to DRTester; why 1/(e(1−e)) detonates.</w:t>
      </w:r>
      <w:r>
        <w:t xml:space="preserve"> </w:t>
      </w:r>
      <w:r>
        <w:t xml:space="preserve">5. IV mechanics — first stage, reduced form, exclusion, weak-instrument caveat (§4.1).</w:t>
      </w:r>
      <w:r>
        <w:t xml:space="preserve"> </w:t>
      </w:r>
      <w:r>
        <w:t xml:space="preserve">6. LATE theorem + compliers (§4.4) — the headline pivot (prescriber-preference instrument).</w:t>
      </w:r>
    </w:p>
    <w:p>
      <w:pPr>
        <w:pStyle w:val="BodyText"/>
      </w:pPr>
      <w:r>
        <w:t xml:space="preserve">STATE (last updated 2026-07-19): Lesson 1 DELIVERED (selection-bias decomposition).</w:t>
      </w:r>
      <w:r>
        <w:t xml:space="preserve"> </w:t>
      </w:r>
      <w:r>
        <w:t xml:space="preserve">PENDING — the user owes answers to the 4-patient toy exercise below; grade it, then advance</w:t>
      </w:r>
      <w:r>
        <w:t xml:space="preserve"> </w:t>
      </w:r>
      <w:r>
        <w:t xml:space="preserve">to curriculum item 2 (CIA as matching).</w:t>
      </w:r>
    </w:p>
    <w:p>
      <w:pPr>
        <w:pStyle w:val="BodyText"/>
      </w:pPr>
      <w:r>
        <w:t xml:space="preserve">Exercise setup: constant effect τ = +0.10 for everyone; assignment is severity-driven (the</w:t>
      </w:r>
      <w:r>
        <w:t xml:space="preserve"> </w:t>
      </w:r>
      <w:r>
        <w:t xml:space="preserve">two highest-Y₀ patients get D=1). Observed Y = Y₀ for controls, Y₁ for treated.</w:t>
      </w:r>
      <w:r>
        <w:t xml:space="preserve"> </w:t>
      </w:r>
      <w:r>
        <w:t xml:space="preserve">patient Y₀ Y₁ D</w:t>
      </w:r>
      <w:r>
        <w:t xml:space="preserve"> </w:t>
      </w:r>
      <w:r>
        <w:t xml:space="preserve">A 0.20 0.30 0</w:t>
      </w:r>
      <w:r>
        <w:t xml:space="preserve"> </w:t>
      </w:r>
      <w:r>
        <w:t xml:space="preserve">B 0.30 0.40 0</w:t>
      </w:r>
      <w:r>
        <w:t xml:space="preserve"> </w:t>
      </w:r>
      <w:r>
        <w:t xml:space="preserve">C 0.60 0.70 1</w:t>
      </w:r>
      <w:r>
        <w:t xml:space="preserve"> </w:t>
      </w:r>
      <w:r>
        <w:t xml:space="preserve">D 0.70 0.80 1</w:t>
      </w:r>
      <w:r>
        <w:t xml:space="preserve"> </w:t>
      </w:r>
      <w:r>
        <w:t xml:space="preserve">Tasks: (1) naive diff E[Y|D=1] − E[Y|D=0]; (2) true ATT; (3) selection-bias term;</w:t>
      </w:r>
      <w:r>
        <w:t xml:space="preserve"> </w:t>
      </w:r>
      <w:r>
        <w:t xml:space="preserve">(4) verify (2)+(3)=(1); (5) state the CIA in this toy’s own terms.</w:t>
      </w:r>
      <w:r>
        <w:t xml:space="preserve"> </w:t>
      </w:r>
      <w:r>
        <w:t xml:space="preserve">Answer key (to grade against):</w:t>
      </w:r>
      <w:r>
        <w:t xml:space="preserve"> </w:t>
      </w:r>
      <w:r>
        <w:t xml:space="preserve">(1) naive diff = mean(Y|D=1) − mean(Y|D=0) = 0.75 − 0.25 = 0.50</w:t>
      </w:r>
      <w:r>
        <w:t xml:space="preserve"> </w:t>
      </w:r>
      <w:r>
        <w:t xml:space="preserve">(2) true ATT = τ = 0.10</w:t>
      </w:r>
      <w:r>
        <w:t xml:space="preserve"> </w:t>
      </w:r>
      <w:r>
        <w:t xml:space="preserve">(3) selection bias = E[Y₀|D=1] − E[Y₀|D=0] = 0.65 − 0.25 = 0.40</w:t>
      </w:r>
      <w:r>
        <w:t xml:space="preserve"> </w:t>
      </w:r>
      <w:r>
        <w:t xml:space="preserve">(4) 0.10 + 0.40 = 0.50 ✓</w:t>
      </w:r>
      <w:r>
        <w:t xml:space="preserve"> </w:t>
      </w:r>
      <w:r>
        <w:t xml:space="preserve">(5) X must capture the severity that drove assignment, so that WITHIN a severity cell the</w:t>
      </w:r>
      <w:r>
        <w:t xml:space="preserve"> </w:t>
      </w:r>
      <w:r>
        <w:t xml:space="preserve">treated and control share the same baseline: E[Y₀|D=1,X] = E[Y₀|D=0,X]. Then the</w:t>
      </w:r>
      <w:r>
        <w:t xml:space="preserve"> </w:t>
      </w:r>
      <w:r>
        <w:t xml:space="preserve">selection-bias term vanishes cell-by-cell and the within-X contrast equals the CATE.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9. DATED REVISIONS (append-only)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2026-07-23 — ATE ROBUSTNESS LADDER CONSOLIDATED. The individual robustness moves already</w:t>
      </w:r>
      <w:r>
        <w:t xml:space="preserve"> </w:t>
      </w:r>
      <w:r>
        <w:t xml:space="preserve">described in §5B (E-value, negative-control outcome) and §5C (overlap trimming + covariate-</w:t>
      </w:r>
      <w:r>
        <w:t xml:space="preserve"> </w:t>
      </w:r>
      <w:r>
        <w:t xml:space="preserve">balance table) have been consolidated into a single ordered, pre-specified</w:t>
      </w:r>
      <w:r>
        <w:t xml:space="preserve"> </w:t>
      </w:r>
      <w:r>
        <w:t xml:space="preserve">“</w:t>
      </w:r>
      <w:r>
        <w:t xml:space="preserve">defense of the ATE</w:t>
      </w:r>
      <w:r>
        <w:t xml:space="preserve">”</w:t>
      </w:r>
      <w:r>
        <w:t xml:space="preserve"> </w:t>
      </w:r>
      <w:r>
        <w:t xml:space="preserve">ladder, now the authoritative falsification protocol in writeup/PAPER2_OUTLINE.md §8(iv) and</w:t>
      </w:r>
      <w:r>
        <w:t xml:space="preserve"> </w:t>
      </w:r>
      <w:r>
        <w:t xml:space="preserve">Aim 4. No science changed; this is an ordering + reporting convention. The four rungs:</w:t>
      </w:r>
      <w:r>
        <w:t xml:space="preserve"> </w:t>
      </w:r>
      <w:r>
        <w:t xml:space="preserve">1. BALANCE (SMD) — SMD = (mean_A − mean_B)/pooled SD per covariate in the trimmed/weighted</w:t>
      </w:r>
      <w:r>
        <w:t xml:space="preserve"> </w:t>
      </w:r>
      <w:r>
        <w:t xml:space="preserve">sample; |SMD| &lt; 0.1 negligible. Speaks ONLY to measured covariates.</w:t>
      </w:r>
      <w:r>
        <w:t xml:space="preserve"> </w:t>
      </w:r>
      <w:r>
        <w:t xml:space="preserve">2. OVERLAP / POSITIVITY — propensity e(X)=P(armA|X) via model_t, 0.10/0.90 trim; estimand</w:t>
      </w:r>
      <w:r>
        <w:t xml:space="preserve"> </w:t>
      </w:r>
      <w:r>
        <w:t xml:space="preserve">becomes the overlap population (§3.3.2–3.3.3). e(X) is a separate classifier of D on</w:t>
      </w:r>
      <w:r>
        <w:t xml:space="preserve"> </w:t>
      </w:r>
      <w:r>
        <w:t xml:space="preserve">pre-index X only; the outcome and any post-index variable must never be inputs.</w:t>
      </w:r>
      <w:r>
        <w:t xml:space="preserve"> </w:t>
      </w:r>
      <w:r>
        <w:t xml:space="preserve">3. E-VALUE — E = RR + √(RR(RR−1)) for RR≥1 (flip if &lt;1); express the risk-difference ATE as</w:t>
      </w:r>
      <w:r>
        <w:t xml:space="preserve"> </w:t>
      </w:r>
      <w:r>
        <w:t xml:space="preserve">an RR first; report on BOTH the point estimate and the CI limit nearest null. A confounder</w:t>
      </w:r>
      <w:r>
        <w:t xml:space="preserve"> </w:t>
      </w:r>
      <w:r>
        <w:t xml:space="preserve">bites only if BOTH its arrows (RR-with-treatment AND RR-with-outcome) clear E (WITHIN-var</w:t>
      </w:r>
      <w:r>
        <w:t xml:space="preserve"> </w:t>
      </w:r>
      <w:r>
        <w:t xml:space="preserve">AND); the effect is fragile if EVEN ONE measured covariate clears both (ACROSS-var EXISTS),</w:t>
      </w:r>
      <w:r>
        <w:t xml:space="preserve"> </w:t>
      </w:r>
      <w:r>
        <w:t xml:space="preserve">since that proves E-strength confounding is real in this data.</w:t>
      </w:r>
      <w:r>
        <w:t xml:space="preserve"> </w:t>
      </w:r>
      <w:r>
        <w:t xml:space="preserve">4. NEGATIVE-CONTROL OUTCOME — rerun on an outcome the class cannot cause (NSAID/fracture);</w:t>
      </w:r>
      <w:r>
        <w:t xml:space="preserve"> </w:t>
      </w:r>
      <w:r>
        <w:t xml:space="preserve">true effect =0, so any detected effect is confounding via the backdoor treatment←U→outcome</w:t>
      </w:r>
      <w:r>
        <w:t xml:space="preserve"> </w:t>
      </w:r>
      <w:r>
        <w:t xml:space="preserve">(the treatment→outcome arrow is absent — that absence is the whole test). DETECTS/falsifies</w:t>
      </w:r>
      <w:r>
        <w:t xml:space="preserve"> </w:t>
      </w:r>
      <w:r>
        <w:t xml:space="preserve">the CIA, whereas the E-value only BOUNDS it.</w:t>
      </w:r>
      <w:r>
        <w:t xml:space="preserve"> </w:t>
      </w:r>
      <w:r>
        <w:t xml:space="preserve">Logic: rungs 1–2 clean the measured world, 3 bounds the unmeasured, 4 tries to catch it. An ATE</w:t>
      </w:r>
      <w:r>
        <w:t xml:space="preserve"> </w:t>
      </w:r>
      <w:r>
        <w:t xml:space="preserve">caught confounded is a reportable finding under PAPER2_OUTLINE §4, not a failure. STILL OPEN</w:t>
      </w:r>
      <w:r>
        <w:t xml:space="preserve"> </w:t>
      </w:r>
      <w:r>
        <w:t xml:space="preserve">(next tutoring session): the mechanical jump from per-patient imputed counterfactual differences</w:t>
      </w:r>
      <w:r>
        <w:t xml:space="preserve"> </w:t>
      </w:r>
      <w:r>
        <w:t xml:space="preserve">to one ATE with a bootstrap confidence interval — the piece that gives the point estimate its</w:t>
      </w:r>
      <w:r>
        <w:t xml:space="preserve"> </w:t>
      </w:r>
      <w:r>
        <w:t xml:space="preserve">error bars. See writeup/TODO.txt</w:t>
      </w:r>
      <w:r>
        <w:t xml:space="preserve"> </w:t>
      </w:r>
      <w:r>
        <w:t xml:space="preserve">“</w:t>
      </w:r>
      <w:r>
        <w:t xml:space="preserve">CAUSAL FOREST — Target Trial 1</w:t>
      </w:r>
      <w:r>
        <w:t xml:space="preserve">”</w:t>
      </w:r>
      <w:r>
        <w:t xml:space="preserve"> </w:t>
      </w:r>
      <w:r>
        <w:t xml:space="preserve">for the companion action list.</w:t>
      </w:r>
    </w:p>
    <w:p>
      <w:pPr>
        <w:pStyle w:val="BodyText"/>
      </w:pPr>
      <w:r>
        <w:t xml:space="preserve">2026-09-01 — RUNG 2 GAINS ITS FORMAL METRICS; RUNG 1 GAINS ITS THIRD TABLE. No identification</w:t>
      </w:r>
      <w:r>
        <w:t xml:space="preserve"> </w:t>
      </w:r>
      <w:r>
        <w:t xml:space="preserve">argument changed; both are reporting additions that close holes a reviewer would find.</w:t>
      </w:r>
    </w:p>
    <w:p>
      <w:pPr>
        <w:pStyle w:val="BodyText"/>
      </w:pPr>
      <w:r>
        <w:t xml:space="preserve">RUNG 2. The screen as specified stops at the trim: e(X), a 0.10/0.90 band, and per-arm counts.</w:t>
      </w:r>
      <w:r>
        <w:t xml:space="preserve"> </w:t>
      </w:r>
      <w:r>
        <w:t xml:space="preserve">Counts are not a distribution, and nothing anywhere judged the propensity MODEL. Four metrics are</w:t>
      </w:r>
      <w:r>
        <w:t xml:space="preserve"> </w:t>
      </w:r>
      <w:r>
        <w:t xml:space="preserve">added, all off the one e(X) column:</w:t>
      </w:r>
      <w:r>
        <w:t xml:space="preserve"> </w:t>
      </w:r>
      <w:r>
        <w:t xml:space="preserve">(a) CALIBRATION of e(X) — slope, intercept, a reliability table of observed arm share against</w:t>
      </w:r>
      <w:r>
        <w:t xml:space="preserve"> </w:t>
      </w:r>
      <w:r>
        <w:t xml:space="preserve">predicted e(X) by bin, and the Brier score. This is load-bearing rather than cosmetic: the</w:t>
      </w:r>
      <w:r>
        <w:t xml:space="preserve"> </w:t>
      </w:r>
      <w:r>
        <w:t xml:space="preserve">band’s meaning (</w:t>
      </w:r>
      <w:r>
        <w:t xml:space="preserve">“</w:t>
      </w:r>
      <w:r>
        <w:t xml:space="preserve">at least 10% of people like this one received each arm</w:t>
      </w:r>
      <w:r>
        <w:t xml:space="preserve">”</w:t>
      </w:r>
      <w:r>
        <w:t xml:space="preserve">) is a statement</w:t>
      </w:r>
      <w:r>
        <w:t xml:space="preserve"> </w:t>
      </w:r>
      <w:r>
        <w:t xml:space="preserve">about a PROBABILITY, and an uncalibrated 0.10 does not carry it. If e(X) is miscalibrated</w:t>
      </w:r>
      <w:r>
        <w:t xml:space="preserve"> </w:t>
      </w:r>
      <w:r>
        <w:t xml:space="preserve">the trim boundary is not the boundary the estimand claims.</w:t>
      </w:r>
      <w:r>
        <w:t xml:space="preserve"> </w:t>
      </w:r>
      <w:r>
        <w:t xml:space="preserve">(b) C-STATISTIC of e(X) against arm assignment, reported with its direction stated. HIGH IS BAD</w:t>
      </w:r>
      <w:r>
        <w:t xml:space="preserve"> </w:t>
      </w:r>
      <w:r>
        <w:t xml:space="preserve">here — it is separation, i.e. failure of positivity — which inverts the reading of every</w:t>
      </w:r>
      <w:r>
        <w:t xml:space="preserve"> </w:t>
      </w:r>
      <w:r>
        <w:t xml:space="preserve">other discrimination number in this project and must be labelled wherever it appears.</w:t>
      </w:r>
      <w:r>
        <w:t xml:space="preserve"> </w:t>
      </w:r>
      <w:r>
        <w:t xml:space="preserve">(c) OVERLAP COEFFICIENT between the two arm-conditional densities of e(X): the scalar summary of</w:t>
      </w:r>
      <w:r>
        <w:t xml:space="preserve"> </w:t>
      </w:r>
      <w:r>
        <w:t xml:space="preserve">how much of the two distributions is shared.</w:t>
      </w:r>
      <w:r>
        <w:t xml:space="preserve"> </w:t>
      </w:r>
      <w:r>
        <w:t xml:space="preserve">(d) KISH EFFECTIVE SAMPLE SIZE under the overlap weights e(X)(1−e(X)): the honest n behind the</w:t>
      </w:r>
      <w:r>
        <w:t xml:space="preserve"> </w:t>
      </w:r>
      <w:r>
        <w:t xml:space="preserve">overlap-weighted sensitivity average, which is otherwise reported as though it had the full</w:t>
      </w:r>
      <w:r>
        <w:t xml:space="preserve"> </w:t>
      </w:r>
      <w:r>
        <w:t xml:space="preserve">in-band sample behind it.</w:t>
      </w:r>
      <w:r>
        <w:t xml:space="preserve"> </w:t>
      </w:r>
      <w:r>
        <w:t xml:space="preserve">Also added, as the visual half of the same rung: e(X) drawn per arm with the band edges marked.</w:t>
      </w:r>
      <w:r>
        <w:t xml:space="preserve"> </w:t>
      </w:r>
      <w:r>
        <w:t xml:space="preserve">NOTE the E-value does NOT serve this purpose. It is rung 3 and it bounds UNMEASURED confounding;</w:t>
      </w:r>
      <w:r>
        <w:t xml:space="preserve"> </w:t>
      </w:r>
      <w:r>
        <w:t xml:space="preserve">it says nothing about whether the propensity model is any good. Conflating the two was the</w:t>
      </w:r>
      <w:r>
        <w:t xml:space="preserve"> </w:t>
      </w:r>
      <w:r>
        <w:t xml:space="preserve">specific confusion this revision resolves.</w:t>
      </w:r>
    </w:p>
    <w:p>
      <w:pPr>
        <w:pStyle w:val="BodyText"/>
      </w:pPr>
      <w:r>
        <w:t xml:space="preserve">RUNG 1. The SMD table is computed THREE ways, not one: raw over every eligible test patient,</w:t>
      </w:r>
      <w:r>
        <w:t xml:space="preserve"> </w:t>
      </w:r>
      <w:r>
        <w:t xml:space="preserve">hard-trimmed over the in-band population, and overlap-weighted. Rung 1 as written above already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in the trimmed/weighted sample</w:t>
      </w:r>
      <w:r>
        <w:t xml:space="preserve">”</w:t>
      </w:r>
      <w:r>
        <w:t xml:space="preserve"> </w:t>
      </w:r>
      <w:r>
        <w:t xml:space="preserve">and that remains the diagnostic of record; the raw table is</w:t>
      </w:r>
      <w:r>
        <w:t xml:space="preserve"> </w:t>
      </w:r>
      <w:r>
        <w:t xml:space="preserve">added beside it because a balance table with no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column cannot show that adjustment did</w:t>
      </w:r>
      <w:r>
        <w:t xml:space="preserve"> </w:t>
      </w:r>
      <w:r>
        <w:t xml:space="preserve">anything, and because the companion action list had drifted to specifying raw only. Report raw and</w:t>
      </w:r>
      <w:r>
        <w:t xml:space="preserve"> </w:t>
      </w:r>
      <w:r>
        <w:t xml:space="preserve">hard-trimmed as the table, overlap-weighted as a sensitivity column — the same headline/sensitivity</w:t>
      </w:r>
      <w:r>
        <w:t xml:space="preserve"> </w:t>
      </w:r>
      <w:r>
        <w:t xml:space="preserve">pattern already locked for the ATE itself.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2">
    <w:nsid w:val="71315dca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2026-09-08T19:38:35Z</dcterms:created>
  <dcterms:modified xsi:type="dcterms:W3CDTF">2026-09-08T19:38:35Z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