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2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Cs/>
          <w:b/>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Cs/>
          <w:b/>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Cs/>
          <w:b/>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Cs/>
          <w:b/>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Cs/>
          <w:b/>
        </w:rPr>
        <w:t xml:space="preserve">Results:</w:t>
      </w:r>
      <w:r>
        <w:t xml:space="preserve"> </w:t>
      </w:r>
      <w:r>
        <w:t xml:space="preserve">The outcome occurred in 7,455 patients (17.5%).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ROC AUC but reduced discrimination for the 3 tree ensembles by 0.013–0.022. Embedded logistic regression achieved ROC AUCs of 0.645–0.657 across encoders. Permuting psychiatric history produced the largest discrimination loss for the primary encoder (0.024–0.028 across classifiers); medication burden and prior treatment exposure also contributed. Permuting race/ethnicity or recorded social determinants changed ROC AUC by no more than 0.003. Nearest-neighbor retrieval over the embedding stayed below both leading classifiers at every neighborhood size tested; its best ROC AUC was 0.625 (95% CI 0.610–0.641).</w:t>
      </w:r>
    </w:p>
    <w:p>
      <w:pPr>
        <w:pStyle w:val="BodyText"/>
      </w:pPr>
      <w:r>
        <w:rPr>
          <w:bCs/>
          <w:b/>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and prioritize validation of the outcome, transportability, and clinical value before deployment.</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offer longitudinal information on diagnoses, prescribing, and health care use.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 The comparison concerns complete representation pipelines because their field inventories were not identical.</w:t>
      </w:r>
    </w:p>
    <w:bookmarkEnd w:id="24"/>
    <w:bookmarkStart w:id="33"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Patients with a problem-list depression flag were retained, together with a random sample without that flag. The resulting sample was enriched for depression and does not represent health-system prevalence. Encounter-level diagnoses determined study eligibility; 12,530 eligible patients (29.4%) entered through the randomly sampled group.</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5"/>
    <w:bookmarkStart w:id="27"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Index selection did not require subsequent dose adequacy, duration, response, or treatment change.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18347"/>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6"/>
                    <a:stretch>
                      <a:fillRect/>
                    </a:stretch>
                  </pic:blipFill>
                  <pic:spPr bwMode="auto">
                    <a:xfrm>
                      <a:off x="0" y="0"/>
                      <a:ext cx="5486400" cy="2518347"/>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The 57.9% annotation describes candidate index orders, not the final cohort. EHR: electronic health record; MDD: major depressive disorder; TRD: treatment-resistant depression proxy.</w:t>
      </w:r>
    </w:p>
    <w:bookmarkEnd w:id="27"/>
    <w:bookmarkStart w:id="28"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Standardized symptom response was unavailable, and dose and duration adequacy were not established for the counted treatments. Switching could reflect nonresponse, intolerance, preference, access, or prescribing practice. The label was not validated by chart review or symptom measures (Multimedia Appendix 1, section M3). We use</w:t>
      </w:r>
      <w:r>
        <w:t xml:space="preserve"> </w:t>
      </w:r>
      <w:r>
        <w:t xml:space="preserve">“</w:t>
      </w:r>
      <w:r>
        <w:t xml:space="preserve">TRD proxy</w:t>
      </w:r>
      <w:r>
        <w:t xml:space="preserve">”</w:t>
      </w:r>
      <w:r>
        <w:t xml:space="preserve"> </w:t>
      </w:r>
      <w:r>
        <w:t xml:space="preserve">throughout to distinguish this outcome from clinically confirmed resistance.</w:t>
      </w:r>
    </w:p>
    <w:bookmarkEnd w:id="28"/>
    <w:bookmarkStart w:id="29"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Prior antidepressant trial counts required at least 42 days of continuous exposure; this duration rule did not establish adequate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S6, and S11.</w:t>
      </w:r>
    </w:p>
    <w:bookmarkEnd w:id="29"/>
    <w:bookmarkStart w:id="30"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Scaling and category encoding were fitted within each training fold; the selected pipeline was then refitted on all training patients and applied to the test set. Tuning grids were identical across representations for each classifier (Multimedia Appendix 1, sections M7–M9).</w:t>
      </w:r>
    </w:p>
    <w:p>
      <w:pPr>
        <w:pStyle w:val="BodyText"/>
      </w:pPr>
      <w:r>
        <w:t xml:space="preserve">We assessed ROC AUC, area under the precision–recall curve (AUPRC), Brier score, and calibration. The supplementary calibration-curve summaries use slopes and intercepts fitted to binned probabilities; the subgroup analyses separately report logistic calibration slopes based on individual predicted probabilities. These quantities are distinguished because they are not interchangeable. All calibration estimates concern this enriched cohort.</w:t>
      </w:r>
    </w:p>
    <w:p>
      <w:pPr>
        <w:pStyle w:val="BodyText"/>
      </w:pPr>
      <w:r>
        <w:t xml:space="preserve">Nonparametric bootstrap resampling of test patients provided 95% CIs. Paired resampling estimated differences between representations and between original and perturbed predictions. Classifier-matched contrasts held the learner fixed. The comparison of the best model for each representation was post hoc because the leading models were identified from test performance. No equivalence margin was prespecified; a CI containing zero does not establish equivalence. Sensitivity and specificity at test-selected Youden J thresholds are reported only as descriptive analyses in Multimedia Appendix 1, section S13.</w:t>
      </w:r>
    </w:p>
    <w:bookmarkEnd w:id="30"/>
    <w:bookmarkStart w:id="31"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Importance-weighted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The primary analysis used k = 50 and α = 5. A sweep evaluated every k from 1 to all 34,063 training patients, under α = 1, 2, and 5. Random and farthest retrieval served as negative controls. Details appear in Multimedia Appendix 1, sections M10–M12 and S7.</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1"/>
    <w:bookmarkStart w:id="32"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2"/>
    <w:bookmarkEnd w:id="33"/>
    <w:bookmarkStart w:id="41" w:name="results"/>
    <w:p>
      <w:pPr>
        <w:pStyle w:val="Heading1"/>
      </w:pPr>
      <w:r>
        <w:t xml:space="preserve">Results</w:t>
      </w:r>
    </w:p>
    <w:bookmarkStart w:id="34" w:name="cohort-characteristics"/>
    <w:p>
      <w:pPr>
        <w:pStyle w:val="Heading2"/>
      </w:pPr>
      <w:r>
        <w:t xml:space="preserve">Cohort Characteristics</w:t>
      </w:r>
    </w:p>
    <w:p>
      <w:pPr>
        <w:pStyle w:val="FirstParagraph"/>
      </w:pPr>
      <w:r>
        <w:t xml:space="preserve">Of 501,718 patients in the extract, 42,579 met eligibility criteria and 7,455 (17.5%)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S12.</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S15.</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S8–S9).</w:t>
      </w:r>
    </w:p>
    <w:bookmarkEnd w:id="34"/>
    <w:bookmarkStart w:id="36"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AUPRC: area under the precision–recall curve; ROC AUC: area under the receiver operating characteristic curve. The positive-rate reference for AUPRC is 0.175. EMBEDDED uses Qwen3-Embedding-8B; FEATURE uses 92 structured columns.</w:t>
      </w:r>
    </w:p>
    <w:tbl>
      <w:tblPr>
        <w:tblStyle w:val="Table"/>
        <w:tblW w:type="pct" w:w="0.0"/>
        <w:tblLook w:firstRow="1" w:lastRow="0" w:firstColumn="0" w:lastColumn="0" w:noHBand="0" w:noVBand="0" w:val="0020"/>
      </w:tblPr>
      <w:tblGrid/>
      <w:tr>
        <w:tc>
          <w:p>
            <w:pPr>
              <w:pStyle w:val="Compact"/>
              <w:jc w:val="left"/>
            </w:pPr>
            <w:r>
              <w:t xml:space="preserve">Representation</w:t>
            </w:r>
          </w:p>
        </w:tc>
        <w:tc>
          <w:p>
            <w:pPr>
              <w:pStyle w:val="Compact"/>
              <w:jc w:val="left"/>
            </w:pPr>
            <w:r>
              <w:t xml:space="preserve">Classifier</w:t>
            </w:r>
          </w:p>
        </w:tc>
        <w:tc>
          <w:p>
            <w:pPr>
              <w:pStyle w:val="Compact"/>
              <w:jc w:val="left"/>
            </w:pPr>
            <w:r>
              <w:t xml:space="preserve">ROC AUC (95% CI)</w:t>
            </w:r>
          </w:p>
        </w:tc>
        <w:tc>
          <w:p>
            <w:pPr>
              <w:pStyle w:val="Compact"/>
              <w:jc w:val="left"/>
            </w:pPr>
            <w:r>
              <w:t xml:space="preserve">AUPRC</w:t>
            </w:r>
          </w:p>
        </w:tc>
        <w:tc>
          <w:p>
            <w:pPr>
              <w:pStyle w:val="Compact"/>
              <w:jc w:val="left"/>
            </w:pPr>
            <w:r>
              <w:t xml:space="preserve">Brier score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w:t>
            </w:r>
          </w:p>
        </w:tc>
        <w:tc>
          <w:p>
            <w:pPr>
              <w:pStyle w:val="Compact"/>
              <w:jc w:val="left"/>
            </w:pPr>
            <w:r>
              <w:t xml:space="preserve">0.137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w:t>
            </w:r>
          </w:p>
        </w:tc>
        <w:tc>
          <w:p>
            <w:pPr>
              <w:pStyle w:val="Compact"/>
              <w:jc w:val="left"/>
            </w:pPr>
            <w:r>
              <w:t xml:space="preserve">0.140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w:t>
            </w:r>
          </w:p>
        </w:tc>
        <w:tc>
          <w:p>
            <w:pPr>
              <w:pStyle w:val="Compact"/>
              <w:jc w:val="left"/>
            </w:pPr>
            <w:r>
              <w:t xml:space="preserve">0.139</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w:t>
            </w:r>
          </w:p>
        </w:tc>
        <w:tc>
          <w:p>
            <w:pPr>
              <w:pStyle w:val="Compact"/>
              <w:jc w:val="left"/>
            </w:pPr>
            <w:r>
              <w:t xml:space="preserve">0.139</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w:t>
            </w:r>
          </w:p>
        </w:tc>
        <w:tc>
          <w:p>
            <w:pPr>
              <w:pStyle w:val="Compact"/>
              <w:jc w:val="left"/>
            </w:pPr>
            <w:r>
              <w:t xml:space="preserve">0.138</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w:t>
            </w:r>
          </w:p>
        </w:tc>
        <w:tc>
          <w:p>
            <w:pPr>
              <w:pStyle w:val="Compact"/>
              <w:jc w:val="left"/>
            </w:pPr>
            <w:r>
              <w:t xml:space="preserve">0.138</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35"/>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for embedded logistic regression and 0.298 for feature-vector XGBoost, compared with the cohort’s positive-rate reference of 0.175. Brier scores were 0.137 and 0.138, respectively. Calibration varied by model and method of assessment; the individual-level logistic calibration slope for embedded logistic regression was 0.97. Full calibration summaries, precision–recall curves, and descriptive operating points appear in Multimedia Appendix 1, sections S3–S4, S10, and S13.</w:t>
      </w:r>
    </w:p>
    <w:bookmarkEnd w:id="36"/>
    <w:bookmarkStart w:id="38"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0.024–0.028 across classifiers, with all paired CIs excluding zero. For embedded logistic regression, medication burden and prior treatment exposure reduced ROC AUC by 0.027 and 0.019, respectively. Permuting race/ethnicity or recorded social determinants changed ROC AUC by no more than 0.003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Negative values indicate reduced discrimination. LR: logistic regression; RF: random forest; GB: gradient boosting; XGB: XGBoost; SDOH: social determinants of health. Values are point differences; psychiatric-history paired CIs excluded zero for all 4 classifiers.</w:t>
      </w:r>
    </w:p>
    <w:tbl>
      <w:tblPr>
        <w:tblStyle w:val="Table"/>
        <w:tblW w:type="pct" w:w="0.0"/>
        <w:tblLook w:firstRow="1" w:lastRow="0" w:firstColumn="0" w:lastColumn="0" w:noHBand="0" w:noVBand="0" w:val="0020"/>
      </w:tblPr>
      <w:tblGrid/>
      <w:tr>
        <w:tc>
          <w:p>
            <w:pPr>
              <w:pStyle w:val="Compact"/>
              <w:jc w:val="left"/>
            </w:pPr>
            <w:r>
              <w:t xml:space="preserve">Permuted concept</w:t>
            </w:r>
          </w:p>
        </w:tc>
        <w:tc>
          <w:p>
            <w:pPr>
              <w:pStyle w:val="Compact"/>
              <w:jc w:val="left"/>
            </w:pPr>
            <w:r>
              <w:t xml:space="preserve">LR</w:t>
            </w:r>
          </w:p>
        </w:tc>
        <w:tc>
          <w:p>
            <w:pPr>
              <w:pStyle w:val="Compact"/>
              <w:jc w:val="left"/>
            </w:pPr>
            <w:r>
              <w:t xml:space="preserve">RF</w:t>
            </w:r>
          </w:p>
        </w:tc>
        <w:tc>
          <w:p>
            <w:pPr>
              <w:pStyle w:val="Compact"/>
              <w:jc w:val="left"/>
            </w:pPr>
            <w:r>
              <w:t xml:space="preserve">GB</w:t>
            </w:r>
          </w:p>
        </w:tc>
        <w:tc>
          <w:p>
            <w:pPr>
              <w:pStyle w:val="Compact"/>
              <w:jc w:val="left"/>
            </w:pPr>
            <w:r>
              <w:t xml:space="preserve">XGB</w:t>
            </w:r>
          </w:p>
        </w:tc>
      </w:tr>
      <w:tr>
        <w:tc>
          <w:p>
            <w:pPr>
              <w:pStyle w:val="Compact"/>
              <w:jc w:val="left"/>
            </w:pPr>
            <w:r>
              <w:t xml:space="preserve">Psychiatric history</w:t>
            </w:r>
          </w:p>
        </w:tc>
        <w:tc>
          <w:p>
            <w:pPr>
              <w:pStyle w:val="Compact"/>
              <w:jc w:val="left"/>
            </w:pPr>
            <w:r>
              <w:t xml:space="preserve">−0.028</w:t>
            </w:r>
          </w:p>
        </w:tc>
        <w:tc>
          <w:p>
            <w:pPr>
              <w:pStyle w:val="Compact"/>
              <w:jc w:val="left"/>
            </w:pPr>
            <w:r>
              <w:t xml:space="preserve">−0.027</w:t>
            </w:r>
          </w:p>
        </w:tc>
        <w:tc>
          <w:p>
            <w:pPr>
              <w:pStyle w:val="Compact"/>
              <w:jc w:val="left"/>
            </w:pPr>
            <w:r>
              <w:t xml:space="preserve">−0.024</w:t>
            </w:r>
          </w:p>
        </w:tc>
        <w:tc>
          <w:p>
            <w:pPr>
              <w:pStyle w:val="Compact"/>
              <w:jc w:val="left"/>
            </w:pPr>
            <w:r>
              <w:t xml:space="preserve">−0.027</w:t>
            </w:r>
          </w:p>
        </w:tc>
      </w:tr>
      <w:tr>
        <w:tc>
          <w:p>
            <w:pPr>
              <w:pStyle w:val="Compact"/>
              <w:jc w:val="left"/>
            </w:pPr>
            <w:r>
              <w:t xml:space="preserve">Medication burden</w:t>
            </w:r>
          </w:p>
        </w:tc>
        <w:tc>
          <w:p>
            <w:pPr>
              <w:pStyle w:val="Compact"/>
              <w:jc w:val="left"/>
            </w:pPr>
            <w:r>
              <w:t xml:space="preserve">−0.027</w:t>
            </w:r>
          </w:p>
        </w:tc>
        <w:tc>
          <w:p>
            <w:pPr>
              <w:pStyle w:val="Compact"/>
              <w:jc w:val="left"/>
            </w:pPr>
            <w:r>
              <w:t xml:space="preserve">−0.003</w:t>
            </w:r>
          </w:p>
        </w:tc>
        <w:tc>
          <w:p>
            <w:pPr>
              <w:pStyle w:val="Compact"/>
              <w:jc w:val="left"/>
            </w:pPr>
            <w:r>
              <w:t xml:space="preserve">−0.014</w:t>
            </w:r>
          </w:p>
        </w:tc>
        <w:tc>
          <w:p>
            <w:pPr>
              <w:pStyle w:val="Compact"/>
              <w:jc w:val="left"/>
            </w:pPr>
            <w:r>
              <w:t xml:space="preserve">−0.017</w:t>
            </w:r>
          </w:p>
        </w:tc>
      </w:tr>
      <w:tr>
        <w:tc>
          <w:p>
            <w:pPr>
              <w:pStyle w:val="Compact"/>
              <w:jc w:val="left"/>
            </w:pPr>
            <w:r>
              <w:t xml:space="preserve">Treatment exposure</w:t>
            </w:r>
          </w:p>
        </w:tc>
        <w:tc>
          <w:p>
            <w:pPr>
              <w:pStyle w:val="Compact"/>
              <w:jc w:val="left"/>
            </w:pPr>
            <w:r>
              <w:t xml:space="preserve">−0.019</w:t>
            </w:r>
          </w:p>
        </w:tc>
        <w:tc>
          <w:p>
            <w:pPr>
              <w:pStyle w:val="Compact"/>
              <w:jc w:val="left"/>
            </w:pPr>
            <w:r>
              <w:t xml:space="preserve">+0.000</w:t>
            </w:r>
          </w:p>
        </w:tc>
        <w:tc>
          <w:p>
            <w:pPr>
              <w:pStyle w:val="Compact"/>
              <w:jc w:val="left"/>
            </w:pPr>
            <w:r>
              <w:t xml:space="preserve">−0.006</w:t>
            </w:r>
          </w:p>
        </w:tc>
        <w:tc>
          <w:p>
            <w:pPr>
              <w:pStyle w:val="Compact"/>
              <w:jc w:val="left"/>
            </w:pPr>
            <w:r>
              <w:t xml:space="preserve">−0.011</w:t>
            </w:r>
          </w:p>
        </w:tc>
      </w:tr>
      <w:tr>
        <w:tc>
          <w:p>
            <w:pPr>
              <w:pStyle w:val="Compact"/>
              <w:jc w:val="left"/>
            </w:pPr>
            <w:r>
              <w:t xml:space="preserve">Treatment contraindications</w:t>
            </w:r>
          </w:p>
        </w:tc>
        <w:tc>
          <w:p>
            <w:pPr>
              <w:pStyle w:val="Compact"/>
              <w:jc w:val="left"/>
            </w:pPr>
            <w:r>
              <w:t xml:space="preserve">−0.002</w:t>
            </w:r>
          </w:p>
        </w:tc>
        <w:tc>
          <w:p>
            <w:pPr>
              <w:pStyle w:val="Compact"/>
              <w:jc w:val="left"/>
            </w:pPr>
            <w:r>
              <w:t xml:space="preserve">+0.001</w:t>
            </w:r>
          </w:p>
        </w:tc>
        <w:tc>
          <w:p>
            <w:pPr>
              <w:pStyle w:val="Compact"/>
              <w:jc w:val="left"/>
            </w:pPr>
            <w:r>
              <w:t xml:space="preserve">−0.001</w:t>
            </w:r>
          </w:p>
        </w:tc>
        <w:tc>
          <w:p>
            <w:pPr>
              <w:pStyle w:val="Compact"/>
              <w:jc w:val="left"/>
            </w:pPr>
            <w:r>
              <w:t xml:space="preserve">−0.005</w:t>
            </w:r>
          </w:p>
        </w:tc>
      </w:tr>
      <w:tr>
        <w:tc>
          <w:p>
            <w:pPr>
              <w:pStyle w:val="Compact"/>
              <w:jc w:val="left"/>
            </w:pPr>
            <w:r>
              <w:t xml:space="preserve">Social determinants (SDOH)</w:t>
            </w:r>
          </w:p>
        </w:tc>
        <w:tc>
          <w:p>
            <w:pPr>
              <w:pStyle w:val="Compact"/>
              <w:jc w:val="left"/>
            </w:pPr>
            <w:r>
              <w:t xml:space="preserve">−0.000</w:t>
            </w:r>
          </w:p>
        </w:tc>
        <w:tc>
          <w:p>
            <w:pPr>
              <w:pStyle w:val="Compact"/>
              <w:jc w:val="left"/>
            </w:pPr>
            <w:r>
              <w:t xml:space="preserve">+0.000</w:t>
            </w:r>
          </w:p>
        </w:tc>
        <w:tc>
          <w:p>
            <w:pPr>
              <w:pStyle w:val="Compact"/>
              <w:jc w:val="left"/>
            </w:pPr>
            <w:r>
              <w:t xml:space="preserve">+0.000</w:t>
            </w:r>
          </w:p>
        </w:tc>
        <w:tc>
          <w:p>
            <w:pPr>
              <w:pStyle w:val="Compact"/>
              <w:jc w:val="left"/>
            </w:pPr>
            <w:r>
              <w:t xml:space="preserve">+0.001</w:t>
            </w:r>
          </w:p>
        </w:tc>
      </w:tr>
      <w:tr>
        <w:tc>
          <w:p>
            <w:pPr>
              <w:pStyle w:val="Compact"/>
              <w:jc w:val="left"/>
            </w:pPr>
            <w:r>
              <w:t xml:space="preserve">Race/ethnicity</w:t>
            </w:r>
          </w:p>
        </w:tc>
        <w:tc>
          <w:p>
            <w:pPr>
              <w:pStyle w:val="Compact"/>
              <w:jc w:val="left"/>
            </w:pPr>
            <w:r>
              <w:t xml:space="preserve">−0.000</w:t>
            </w:r>
          </w:p>
        </w:tc>
        <w:tc>
          <w:p>
            <w:pPr>
              <w:pStyle w:val="Compact"/>
              <w:jc w:val="left"/>
            </w:pPr>
            <w:r>
              <w:t xml:space="preserve">+0.000</w:t>
            </w:r>
          </w:p>
        </w:tc>
        <w:tc>
          <w:p>
            <w:pPr>
              <w:pStyle w:val="Compact"/>
              <w:jc w:val="left"/>
            </w:pPr>
            <w:r>
              <w:t xml:space="preserve">−0.003</w:t>
            </w:r>
          </w:p>
        </w:tc>
        <w:tc>
          <w:p>
            <w:pPr>
              <w:pStyle w:val="Compact"/>
              <w:jc w:val="left"/>
            </w:pPr>
            <w:r>
              <w:t xml:space="preserve">−0.000</w:t>
            </w:r>
          </w:p>
        </w:tc>
      </w:tr>
    </w:tbl>
    <w:p>
      <w:pPr>
        <w:pStyle w:val="BodyText"/>
      </w:pPr>
      <w:r>
        <w:t xml:space="preserve">Logistic regression was the strongest embedded classifier for all 4 encoders, with ROC AUCs ranging from 0.645 to 0.657. Psychiatric history and medication burden remained the largest contributors across encoders: permutation reduced logistic-regression ROC AUC by 0.027–0.030 and 0.022–0.034, respectively (Figure 3). Feature-vector coefficient rankings also emphasized psychiatric burden, including suicidality, severe depression coding, insomnia, and anxiety. Detailed importance, dimensionality, and encoder analyses are in Multimedia Appendix 1, sections S2, S5, and S13.</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37"/>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S16.</w:t>
      </w:r>
    </w:p>
    <w:bookmarkEnd w:id="38"/>
    <w:bookmarkStart w:id="40" w:name="retrieval-and-subgroup-performance"/>
    <w:p>
      <w:pPr>
        <w:pStyle w:val="Heading2"/>
      </w:pPr>
      <w:r>
        <w:t xml:space="preserve">Retrieval and Subgroup Performance</w:t>
      </w:r>
    </w:p>
    <w:p>
      <w:pPr>
        <w:pStyle w:val="FirstParagraph"/>
      </w:pPr>
      <w:r>
        <w:t xml:space="preserve">At k = 50, plain cosine retrieval achieved an ROC AUC of 0.594 (95% CI 0.578–0.610). Random retrieval yielded 0.499 and farthest retrieval 0.432. Neighborhood size mattered more than the similarity metric (Figure 4). Discrimination rose with k and was flat from roughly 300 neighbors onward. At its best k, importance-weighted retrieval reached 0.625 (95% CI 0.610–0.641) and plain cosine 0.618 (95% CI 0.602–0.634). The paired difference between the 2 metrics was 0.007 (95% CI −0.001 to 0.014). The best retrieval result over every k and exponent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(Multimedia Appendix 1, section S7).</w:t>
      </w:r>
    </w:p>
    <w:p>
      <w:pPr>
        <w:pStyle w:val="BodyText"/>
      </w:pPr>
      <w:r>
        <w:drawing>
          <wp:inline>
            <wp:extent cx="5486400" cy="3291840"/>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39"/>
                    <a:stretch>
                      <a:fillRect/>
                    </a:stretch>
                  </pic:blipFill>
                  <pic:spPr bwMode="auto">
                    <a:xfrm>
                      <a:off x="0" y="0"/>
                      <a:ext cx="5486400" cy="3291840"/>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for importance-weighted and plain cosine retrieval at every k from 1 to 34,063, with bootstrap 95% bands. Points mark each metric’s best k. The vertical line marks k = 50, the primary analysis. Horizontal lines mark the 2 leading trained classifiers. Curves use α = 1; the maxima under α = 1, 2, and 5 agreed within 0.002.</w:t>
      </w:r>
    </w:p>
    <w:p>
      <w:pPr>
        <w:pStyle w:val="BodyText"/>
      </w:pPr>
      <w:r>
        <w:t xml:space="preserve">Of 240 subgroup contrasts, 24 survived multiplicity adjustment; 19 involved depression recurrence. Discrimination was higher with recurrent coding in all 10 models contrasted and lower with single-episode coding in 9. Performance was lower among never-married patients for 2 embedded classifiers and importance-weighted retrieval, and among patients aged 18–29 for feature-vector XGBoost. Plain cosine retrieval discriminated better in patients with severe coding. Sex contrasts did not show clear differences. White-minus-non-White ROC AUC differences were consistently positive (0.005–0.052), but none survived adjustment. For feature-vector logistic regression, individual-level calibration slopes were 0.98 in White patients and 0.79 in patients with other recorded racial categories. These findings do not establish equitable performance (Multimedia Appendix 1, section S10).</w:t>
      </w:r>
    </w:p>
    <w:bookmarkEnd w:id="40"/>
    <w:bookmarkEnd w:id="41"/>
    <w:bookmarkStart w:id="47" w:name="discussion"/>
    <w:p>
      <w:pPr>
        <w:pStyle w:val="Heading1"/>
      </w:pPr>
      <w:r>
        <w:t xml:space="preserve">Discussion</w:t>
      </w:r>
    </w:p>
    <w:bookmarkStart w:id="42"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and 0.649,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2"/>
    <w:bookmarkStart w:id="43"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3"/>
    <w:bookmarkStart w:id="44"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4"/>
    <w:bookmarkStart w:id="45"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5"/>
    <w:bookmarkStart w:id="46"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46"/>
    <w:bookmarkEnd w:id="47"/>
    <w:bookmarkStart w:id="48" w:name="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48"/>
    <w:bookmarkStart w:id="49"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49"/>
    <w:bookmarkStart w:id="50" w:name="conflicts-of-interest"/>
    <w:p>
      <w:pPr>
        <w:pStyle w:val="Heading1"/>
      </w:pPr>
      <w:r>
        <w:t xml:space="preserve">Conflicts of Interest</w:t>
      </w:r>
    </w:p>
    <w:p>
      <w:pPr>
        <w:pStyle w:val="FirstParagraph"/>
      </w:pPr>
      <w:r>
        <w:t xml:space="preserve">None declared.</w:t>
      </w:r>
    </w:p>
    <w:bookmarkEnd w:id="50"/>
    <w:bookmarkStart w:id="51" w:name="data-availability"/>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1"/>
    <w:bookmarkStart w:id="52"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the figures and tables, and wrote the manuscript. MP directed the project and supervised its scientific design and interpretation.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2"/>
    <w:bookmarkStart w:id="53"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3"/>
    <w:bookmarkStart w:id="54"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4"/>
    <w:bookmarkStart w:id="55"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5"/>
    <w:bookmarkStart w:id="56"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doi:10.2147/PPA.S29716.</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5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6" Target="media/rId26.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2026-09-24T20:57:02Z</dcterms:created>
  <dcterms:modified xsi:type="dcterms:W3CDTF">2026-09-24T20:57:02Z</dcterms:modified>
</cp:coreProperties>
</file>

<file path=docProps/custom.xml><?xml version="1.0" encoding="utf-8"?>
<Properties xmlns="http://schemas.openxmlformats.org/officeDocument/2006/custom-properties" xmlns:vt="http://schemas.openxmlformats.org/officeDocument/2006/docPropsVTypes"/>
</file>