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9.png" ContentType="image/png"/>
  <Override PartName="/word/media/rId2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results"/>
    <w:p>
      <w:pPr>
        <w:pStyle w:val="Heading1"/>
      </w:pPr>
      <w:r>
        <w:t xml:space="preserve">Results</w:t>
      </w:r>
    </w:p>
    <w:bookmarkStart w:id="20" w:name="cohort-characteristics"/>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(95% CI 72.0–72.9) were female, 80.0% (95% CI 79.7–80.4) were recorded as White/Caucasian, and 98.9% (95% CI 98.8–99.0)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
          <w:bCs/>
          <w:i/>
          <w:iCs/>
        </w:rPr>
        <w:t xml:space="preserve">Table 1.</w:t>
      </w:r>
      <w:r>
        <w:rPr>
          <w:i/>
          <w:iCs/>
        </w:rPr>
        <w:t xml:space="preserve"> </w:t>
      </w:r>
      <w:r>
        <w:rPr>
          <w:i/>
          <w:iCs/>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6"/>
        <w:tblLayout w:type="fixed"/>
        <w:tblLook w:firstRow="1" w:lastRow="0" w:firstColumn="0" w:lastColumn="0" w:noHBand="0" w:noVBand="0" w:val="0020"/>
      </w:tblPr>
      <w:tblGrid>
        <w:gridCol w:w="2595"/>
        <w:gridCol w:w="1530"/>
        <w:gridCol w:w="1530"/>
        <w:gridCol w:w="1530"/>
        <w:gridCol w:w="598"/>
      </w:tblGrid>
      <w:tr>
        <w:trPr>
          <w:tblHeader w:val="on"/>
        </w:trPr>
        <w:tc>
          <w:tcPr/>
          <w:p>
            <w:pPr>
              <w:pStyle w:val="Compact"/>
              <w:jc w:val="left"/>
            </w:pPr>
            <w:r>
              <w:t xml:space="preserve">Characteristic</w:t>
            </w:r>
          </w:p>
        </w:tc>
        <w:tc>
          <w:tcPr/>
          <w:p>
            <w:pPr>
              <w:pStyle w:val="Compact"/>
              <w:jc w:val="left"/>
            </w:pPr>
            <w:r>
              <w:t xml:space="preserve">Overall</w:t>
            </w:r>
            <w:r>
              <w:br/>
            </w:r>
            <w:r>
              <w:t xml:space="preserve">N=42,579</w:t>
            </w:r>
          </w:p>
        </w:tc>
        <w:tc>
          <w:tcPr/>
          <w:p>
            <w:pPr>
              <w:pStyle w:val="Compact"/>
              <w:jc w:val="left"/>
            </w:pPr>
            <w:r>
              <w:t xml:space="preserve">TRD</w:t>
            </w:r>
            <w:r>
              <w:br/>
            </w:r>
            <w:r>
              <w:t xml:space="preserve">n=7,455</w:t>
            </w:r>
          </w:p>
        </w:tc>
        <w:tc>
          <w:tcPr/>
          <w:p>
            <w:pPr>
              <w:pStyle w:val="Compact"/>
              <w:jc w:val="left"/>
            </w:pPr>
            <w:r>
              <w:t xml:space="preserve">Non-TRD</w:t>
            </w:r>
            <w:r>
              <w:br/>
            </w:r>
            <w:r>
              <w:t xml:space="preserve">n=35,124</w:t>
            </w:r>
          </w:p>
        </w:tc>
        <w:tc>
          <w:tcPr/>
          <w:p>
            <w:pPr>
              <w:pStyle w:val="Compact"/>
              <w:jc w:val="left"/>
            </w:pPr>
            <w:r>
              <w:t xml:space="preserve">SMD</w:t>
            </w: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jc w:val="left"/>
            </w:pPr>
            <w:r>
              <w:t xml:space="preserve">Recurrent MDD</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jc w:val="left"/>
            </w:pPr>
            <w:r>
              <w:t xml:space="preserve">Severe MDD</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jc w:val="left"/>
            </w:pPr>
            <w:r>
              <w:t xml:space="preserve">Unspecified MDD severity</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Suicidality flagged</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Active medication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antidepressant exposure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antidepressant course ≥42 days</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20"/>
    <w:bookmarkStart w:id="24"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
          <w:bCs/>
          <w:i/>
          <w:iCs/>
        </w:rPr>
        <w:t xml:space="preserve">Table 2.</w:t>
      </w:r>
      <w:r>
        <w:rPr>
          <w:i/>
          <w:iCs/>
        </w:rPr>
        <w:t xml:space="preserve"> </w:t>
      </w:r>
      <w:r>
        <w:rPr>
          <w:i/>
          <w:iCs/>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
        <w:tblLayout w:type="fixed"/>
        <w:tblLook w:firstRow="1" w:lastRow="0" w:firstColumn="0" w:lastColumn="0" w:noHBand="0" w:noVBand="0" w:val="0020"/>
      </w:tblPr>
      <w:tblGrid>
        <w:gridCol w:w="833"/>
        <w:gridCol w:w="1584"/>
        <w:gridCol w:w="1834"/>
        <w:gridCol w:w="1834"/>
        <w:gridCol w:w="1834"/>
      </w:tblGrid>
      <w:tr>
        <w:trPr>
          <w:tblHeader w:val="on"/>
        </w:trPr>
        <w:tc>
          <w:tcPr/>
          <w:p>
            <w:pPr>
              <w:pStyle w:val="Compact"/>
            </w:pPr>
            <w:r>
              <w:rPr>
                <w:b/>
                <w:bCs/>
              </w:rPr>
              <w:t xml:space="preserve">Representation</w:t>
            </w:r>
          </w:p>
        </w:tc>
        <w:tc>
          <w:tcPr/>
          <w:p>
            <w:pPr>
              <w:pStyle w:val="Compact"/>
            </w:pPr>
            <w:r>
              <w:rPr>
                <w:b/>
                <w:bCs/>
              </w:rPr>
              <w:t xml:space="preserve">Classifier</w:t>
            </w:r>
          </w:p>
        </w:tc>
        <w:tc>
          <w:tcPr/>
          <w:p>
            <w:pPr>
              <w:pStyle w:val="Compact"/>
            </w:pPr>
            <w:r>
              <w:rPr>
                <w:b/>
                <w:bCs/>
              </w:rPr>
              <w:t xml:space="preserve">ROC AUC (95% CI)</w:t>
            </w:r>
          </w:p>
        </w:tc>
        <w:tc>
          <w:tcPr/>
          <w:p>
            <w:pPr>
              <w:pStyle w:val="Compact"/>
            </w:pPr>
            <w:r>
              <w:rPr>
                <w:b/>
                <w:bCs/>
              </w:rPr>
              <w:t xml:space="preserve">AUPRC (95% CI)</w:t>
            </w:r>
          </w:p>
        </w:tc>
        <w:tc>
          <w:tcPr/>
          <w:p>
            <w:pPr>
              <w:pStyle w:val="Compact"/>
            </w:pPr>
            <w:r>
              <w:rPr>
                <w:b/>
                <w:bCs/>
              </w:rPr>
              <w:t xml:space="preserve">Brier score (95% CI)</w:t>
            </w:r>
          </w:p>
        </w:tc>
      </w:tr>
      <w:tr>
        <w:tc>
          <w:tcPr/>
          <w:p>
            <w:pPr>
              <w:pStyle w:val="Compact"/>
            </w:pPr>
            <w:r>
              <w:t xml:space="preserve">EMBEDDED</w:t>
            </w:r>
          </w:p>
        </w:tc>
        <w:tc>
          <w:tcPr/>
          <w:p>
            <w:pPr>
              <w:pStyle w:val="Compact"/>
            </w:pPr>
            <w:r>
              <w:t xml:space="preserve">Logistic regression</w:t>
            </w:r>
          </w:p>
        </w:tc>
        <w:tc>
          <w:tcPr/>
          <w:p>
            <w:pPr>
              <w:pStyle w:val="Compact"/>
            </w:pPr>
            <w:r>
              <w:t xml:space="preserve">0.657 (0.643–0.672)</w:t>
            </w:r>
          </w:p>
        </w:tc>
        <w:tc>
          <w:tcPr/>
          <w:p>
            <w:pPr>
              <w:pStyle w:val="Compact"/>
            </w:pPr>
            <w:r>
              <w:t xml:space="preserve">0.302 (0.281–0.325)</w:t>
            </w:r>
          </w:p>
        </w:tc>
        <w:tc>
          <w:tcPr/>
          <w:p>
            <w:pPr>
              <w:pStyle w:val="Compact"/>
            </w:pPr>
            <w:r>
              <w:t xml:space="preserve">0.137 (0.132–0.142)</w:t>
            </w:r>
          </w:p>
        </w:tc>
      </w:tr>
      <w:tr>
        <w:tc>
          <w:tcPr/>
          <w:p>
            <w:pPr>
              <w:pStyle w:val="Compact"/>
            </w:pPr>
            <w:r>
              <w:t xml:space="preserve">EMBEDDED</w:t>
            </w:r>
          </w:p>
        </w:tc>
        <w:tc>
          <w:tcPr/>
          <w:p>
            <w:pPr>
              <w:pStyle w:val="Compact"/>
            </w:pPr>
            <w:r>
              <w:t xml:space="preserve">Random forest</w:t>
            </w:r>
          </w:p>
        </w:tc>
        <w:tc>
          <w:tcPr/>
          <w:p>
            <w:pPr>
              <w:pStyle w:val="Compact"/>
            </w:pPr>
            <w:r>
              <w:t xml:space="preserve">0.623 (0.608–0.639)</w:t>
            </w:r>
          </w:p>
        </w:tc>
        <w:tc>
          <w:tcPr/>
          <w:p>
            <w:pPr>
              <w:pStyle w:val="Compact"/>
            </w:pPr>
            <w:r>
              <w:t xml:space="preserve">0.270 (0.250–0.291)</w:t>
            </w:r>
          </w:p>
        </w:tc>
        <w:tc>
          <w:tcPr/>
          <w:p>
            <w:pPr>
              <w:pStyle w:val="Compact"/>
            </w:pPr>
            <w:r>
              <w:t xml:space="preserve">0.140 (0.134–0.145)</w:t>
            </w:r>
          </w:p>
        </w:tc>
      </w:tr>
      <w:tr>
        <w:tc>
          <w:tcPr/>
          <w:p>
            <w:pPr>
              <w:pStyle w:val="Compact"/>
            </w:pPr>
            <w:r>
              <w:t xml:space="preserve">EMBEDDED</w:t>
            </w:r>
          </w:p>
        </w:tc>
        <w:tc>
          <w:tcPr/>
          <w:p>
            <w:pPr>
              <w:pStyle w:val="Compact"/>
            </w:pPr>
            <w:r>
              <w:t xml:space="preserve">Gradient boosting</w:t>
            </w:r>
          </w:p>
        </w:tc>
        <w:tc>
          <w:tcPr/>
          <w:p>
            <w:pPr>
              <w:pStyle w:val="Compact"/>
            </w:pPr>
            <w:r>
              <w:t xml:space="preserve">0.632 (0.618–0.647)</w:t>
            </w:r>
          </w:p>
        </w:tc>
        <w:tc>
          <w:tcPr/>
          <w:p>
            <w:pPr>
              <w:pStyle w:val="Compact"/>
            </w:pPr>
            <w:r>
              <w:t xml:space="preserve">0.276 (0.256–0.298)</w:t>
            </w:r>
          </w:p>
        </w:tc>
        <w:tc>
          <w:tcPr/>
          <w:p>
            <w:pPr>
              <w:pStyle w:val="Compact"/>
            </w:pPr>
            <w:r>
              <w:t xml:space="preserve">0.139 (0.134–0.144)</w:t>
            </w:r>
          </w:p>
        </w:tc>
      </w:tr>
      <w:tr>
        <w:tc>
          <w:tcPr/>
          <w:p>
            <w:pPr>
              <w:pStyle w:val="Compact"/>
            </w:pPr>
            <w:r>
              <w:t xml:space="preserve">EMBEDDED</w:t>
            </w:r>
          </w:p>
        </w:tc>
        <w:tc>
          <w:tcPr/>
          <w:p>
            <w:pPr>
              <w:pStyle w:val="Compact"/>
            </w:pPr>
            <w:r>
              <w:t xml:space="preserve">XGBoost</w:t>
            </w:r>
          </w:p>
        </w:tc>
        <w:tc>
          <w:tcPr/>
          <w:p>
            <w:pPr>
              <w:pStyle w:val="Compact"/>
            </w:pPr>
            <w:r>
              <w:t xml:space="preserve">0.636 (0.621–0.651)</w:t>
            </w:r>
          </w:p>
        </w:tc>
        <w:tc>
          <w:tcPr/>
          <w:p>
            <w:pPr>
              <w:pStyle w:val="Compact"/>
            </w:pPr>
            <w:r>
              <w:t xml:space="preserve">0.278 (0.257–0.300)</w:t>
            </w:r>
          </w:p>
        </w:tc>
        <w:tc>
          <w:tcPr/>
          <w:p>
            <w:pPr>
              <w:pStyle w:val="Compact"/>
            </w:pPr>
            <w:r>
              <w:t xml:space="preserve">0.139 (0.134–0.144)</w:t>
            </w:r>
          </w:p>
        </w:tc>
      </w:tr>
      <w:tr>
        <w:tc>
          <w:tcPr/>
          <w:p>
            <w:pPr>
              <w:pStyle w:val="Compact"/>
            </w:pPr>
            <w:r>
              <w:t xml:space="preserve">FEATURE</w:t>
            </w:r>
          </w:p>
        </w:tc>
        <w:tc>
          <w:tcPr/>
          <w:p>
            <w:pPr>
              <w:pStyle w:val="Compact"/>
            </w:pPr>
            <w:r>
              <w:t xml:space="preserve">Logistic regression</w:t>
            </w:r>
          </w:p>
        </w:tc>
        <w:tc>
          <w:tcPr/>
          <w:p>
            <w:pPr>
              <w:pStyle w:val="Compact"/>
            </w:pPr>
            <w:r>
              <w:t xml:space="preserve">0.629 (0.613–0.644)</w:t>
            </w:r>
          </w:p>
        </w:tc>
        <w:tc>
          <w:tcPr/>
          <w:p>
            <w:pPr>
              <w:pStyle w:val="Compact"/>
            </w:pPr>
            <w:r>
              <w:t xml:space="preserve">0.278 (0.256–0.300)</w:t>
            </w:r>
          </w:p>
        </w:tc>
        <w:tc>
          <w:tcPr/>
          <w:p>
            <w:pPr>
              <w:pStyle w:val="Compact"/>
            </w:pPr>
            <w:r>
              <w:t xml:space="preserve">0.139 (0.134–0.144)</w:t>
            </w:r>
          </w:p>
        </w:tc>
      </w:tr>
      <w:tr>
        <w:tc>
          <w:tcPr/>
          <w:p>
            <w:pPr>
              <w:pStyle w:val="Compact"/>
            </w:pPr>
            <w:r>
              <w:t xml:space="preserve">FEATURE</w:t>
            </w:r>
          </w:p>
        </w:tc>
        <w:tc>
          <w:tcPr/>
          <w:p>
            <w:pPr>
              <w:pStyle w:val="Compact"/>
            </w:pPr>
            <w:r>
              <w:t xml:space="preserve">Random forest</w:t>
            </w:r>
          </w:p>
        </w:tc>
        <w:tc>
          <w:tcPr/>
          <w:p>
            <w:pPr>
              <w:pStyle w:val="Compact"/>
            </w:pPr>
            <w:r>
              <w:t xml:space="preserve">0.644 (0.630–0.659)</w:t>
            </w:r>
          </w:p>
        </w:tc>
        <w:tc>
          <w:tcPr/>
          <w:p>
            <w:pPr>
              <w:pStyle w:val="Compact"/>
            </w:pPr>
            <w:r>
              <w:t xml:space="preserve">0.293 (0.271–0.315)</w:t>
            </w:r>
          </w:p>
        </w:tc>
        <w:tc>
          <w:tcPr/>
          <w:p>
            <w:pPr>
              <w:pStyle w:val="Compact"/>
            </w:pPr>
            <w:r>
              <w:t xml:space="preserve">0.139 (0.134–0.144)</w:t>
            </w:r>
          </w:p>
        </w:tc>
      </w:tr>
      <w:tr>
        <w:tc>
          <w:tcPr/>
          <w:p>
            <w:pPr>
              <w:pStyle w:val="Compact"/>
            </w:pPr>
            <w:r>
              <w:t xml:space="preserve">FEATURE</w:t>
            </w:r>
          </w:p>
        </w:tc>
        <w:tc>
          <w:tcPr/>
          <w:p>
            <w:pPr>
              <w:pStyle w:val="Compact"/>
            </w:pPr>
            <w:r>
              <w:t xml:space="preserve">Gradient boosting</w:t>
            </w:r>
          </w:p>
        </w:tc>
        <w:tc>
          <w:tcPr/>
          <w:p>
            <w:pPr>
              <w:pStyle w:val="Compact"/>
            </w:pPr>
            <w:r>
              <w:t xml:space="preserve">0.645 (0.629–0.660)</w:t>
            </w:r>
          </w:p>
        </w:tc>
        <w:tc>
          <w:tcPr/>
          <w:p>
            <w:pPr>
              <w:pStyle w:val="Compact"/>
            </w:pPr>
            <w:r>
              <w:t xml:space="preserve">0.288 (0.267–0.309)</w:t>
            </w:r>
          </w:p>
        </w:tc>
        <w:tc>
          <w:tcPr/>
          <w:p>
            <w:pPr>
              <w:pStyle w:val="Compact"/>
            </w:pPr>
            <w:r>
              <w:t xml:space="preserve">0.138 (0.133–0.143)</w:t>
            </w:r>
          </w:p>
        </w:tc>
      </w:tr>
      <w:tr>
        <w:tc>
          <w:tcPr/>
          <w:p>
            <w:pPr>
              <w:pStyle w:val="Compact"/>
            </w:pPr>
            <w:r>
              <w:t xml:space="preserve">FEATURE</w:t>
            </w:r>
          </w:p>
        </w:tc>
        <w:tc>
          <w:tcPr/>
          <w:p>
            <w:pPr>
              <w:pStyle w:val="Compact"/>
            </w:pPr>
            <w:r>
              <w:t xml:space="preserve">XGBoost</w:t>
            </w:r>
          </w:p>
        </w:tc>
        <w:tc>
          <w:tcPr/>
          <w:p>
            <w:pPr>
              <w:pStyle w:val="Compact"/>
            </w:pPr>
            <w:r>
              <w:t xml:space="preserve">0.649 (0.634–0.664)</w:t>
            </w:r>
          </w:p>
        </w:tc>
        <w:tc>
          <w:tcPr/>
          <w:p>
            <w:pPr>
              <w:pStyle w:val="Compact"/>
            </w:pPr>
            <w:r>
              <w:t xml:space="preserve">0.298 (0.276–0.322)</w:t>
            </w:r>
          </w:p>
        </w:tc>
        <w:tc>
          <w:tcPr/>
          <w:p>
            <w:pPr>
              <w:pStyle w:val="Compact"/>
            </w:pPr>
            <w:r>
              <w:t xml:space="preserve">0.138 (0.132–0.143)</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22" name="Picture"/>
            <a:graphic>
              <a:graphicData uri="http://schemas.openxmlformats.org/drawingml/2006/picture">
                <pic:pic>
                  <pic:nvPicPr>
                    <pic:cNvPr descr="../results/Qwen-Qwen3-Embedding-8B/google_medgemma-27b-text-it/discrimination_forest_EMBEDDED_vs_FEATURE.png" id="23" name="Picture"/>
                    <pic:cNvPicPr>
                      <a:picLocks noChangeArrowheads="1" noChangeAspect="1"/>
                    </pic:cNvPicPr>
                  </pic:nvPicPr>
                  <pic:blipFill>
                    <a:blip r:embed="rId21"/>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test patients’ positive-rate reference of 0.175 (95% CI 0.167–0.183).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24"/>
    <w:bookmarkStart w:id="28" w:name="X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
          <w:bCs/>
          <w:i/>
          <w:iCs/>
        </w:rPr>
        <w:t xml:space="preserve">Table 3.</w:t>
      </w:r>
      <w:r>
        <w:rPr>
          <w:i/>
          <w:iCs/>
        </w:rPr>
        <w:t xml:space="preserve"> </w:t>
      </w:r>
      <w:r>
        <w:rPr>
          <w:i/>
          <w:iCs/>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Permuted concept</w:t>
            </w:r>
          </w:p>
        </w:tc>
        <w:tc>
          <w:tcPr/>
          <w:p>
            <w:pPr>
              <w:pStyle w:val="Compact"/>
            </w:pPr>
            <w:r>
              <w:rPr>
                <w:b/>
                <w:bCs/>
              </w:rPr>
              <w:t xml:space="preserve">LR</w:t>
            </w:r>
          </w:p>
        </w:tc>
        <w:tc>
          <w:tcPr/>
          <w:p>
            <w:pPr>
              <w:pStyle w:val="Compact"/>
            </w:pPr>
            <w:r>
              <w:rPr>
                <w:b/>
                <w:bCs/>
              </w:rPr>
              <w:t xml:space="preserve">RF</w:t>
            </w:r>
          </w:p>
        </w:tc>
        <w:tc>
          <w:tcPr/>
          <w:p>
            <w:pPr>
              <w:pStyle w:val="Compact"/>
            </w:pPr>
            <w:r>
              <w:rPr>
                <w:b/>
                <w:bCs/>
              </w:rPr>
              <w:t xml:space="preserve">GB</w:t>
            </w:r>
          </w:p>
        </w:tc>
        <w:tc>
          <w:tcPr/>
          <w:p>
            <w:pPr>
              <w:pStyle w:val="Compact"/>
            </w:pPr>
            <w:r>
              <w:rPr>
                <w:b/>
                <w:bCs/>
              </w:rPr>
              <w:t xml:space="preserve">XGB</w:t>
            </w:r>
          </w:p>
        </w:tc>
      </w:tr>
      <w:tr>
        <w:tc>
          <w:tcPr/>
          <w:p>
            <w:pPr>
              <w:pStyle w:val="Compact"/>
            </w:pPr>
            <w:r>
              <w:t xml:space="preserve">Psychiatric history</w:t>
            </w:r>
          </w:p>
        </w:tc>
        <w:tc>
          <w:tcPr/>
          <w:p>
            <w:pPr>
              <w:pStyle w:val="Compact"/>
            </w:pPr>
            <w:r>
              <w:t xml:space="preserve">−0.028 (−0.039 to −0.017)</w:t>
            </w:r>
          </w:p>
        </w:tc>
        <w:tc>
          <w:tcPr/>
          <w:p>
            <w:pPr>
              <w:pStyle w:val="Compact"/>
            </w:pPr>
            <w:r>
              <w:t xml:space="preserve">−0.027 (−0.039 to −0.013)</w:t>
            </w:r>
          </w:p>
        </w:tc>
        <w:tc>
          <w:tcPr/>
          <w:p>
            <w:pPr>
              <w:pStyle w:val="Compact"/>
            </w:pPr>
            <w:r>
              <w:t xml:space="preserve">−0.024 (−0.036 to −0.010)</w:t>
            </w:r>
          </w:p>
        </w:tc>
        <w:tc>
          <w:tcPr/>
          <w:p>
            <w:pPr>
              <w:pStyle w:val="Compact"/>
            </w:pPr>
            <w:r>
              <w:t xml:space="preserve">−0.027 (−0.039 to −0.014)</w:t>
            </w:r>
          </w:p>
        </w:tc>
      </w:tr>
      <w:tr>
        <w:tc>
          <w:tcPr/>
          <w:p>
            <w:pPr>
              <w:pStyle w:val="Compact"/>
            </w:pPr>
            <w:r>
              <w:t xml:space="preserve">Medication burden</w:t>
            </w:r>
          </w:p>
        </w:tc>
        <w:tc>
          <w:tcPr/>
          <w:p>
            <w:pPr>
              <w:pStyle w:val="Compact"/>
            </w:pPr>
            <w:r>
              <w:t xml:space="preserve">−0.027 (−0.037 to −0.018)</w:t>
            </w:r>
          </w:p>
        </w:tc>
        <w:tc>
          <w:tcPr/>
          <w:p>
            <w:pPr>
              <w:pStyle w:val="Compact"/>
            </w:pPr>
            <w:r>
              <w:t xml:space="preserve">−0.003 (−0.011 to +0.004)</w:t>
            </w:r>
          </w:p>
        </w:tc>
        <w:tc>
          <w:tcPr/>
          <w:p>
            <w:pPr>
              <w:pStyle w:val="Compact"/>
            </w:pPr>
            <w:r>
              <w:t xml:space="preserve">−0.014 (−0.023 to −0.006)</w:t>
            </w:r>
          </w:p>
        </w:tc>
        <w:tc>
          <w:tcPr/>
          <w:p>
            <w:pPr>
              <w:pStyle w:val="Compact"/>
            </w:pPr>
            <w:r>
              <w:t xml:space="preserve">−0.017 (−0.026 to −0.008)</w:t>
            </w:r>
          </w:p>
        </w:tc>
      </w:tr>
      <w:tr>
        <w:tc>
          <w:tcPr/>
          <w:p>
            <w:pPr>
              <w:pStyle w:val="Compact"/>
            </w:pPr>
            <w:r>
              <w:t xml:space="preserve">Treatment exposure</w:t>
            </w:r>
          </w:p>
        </w:tc>
        <w:tc>
          <w:tcPr/>
          <w:p>
            <w:pPr>
              <w:pStyle w:val="Compact"/>
            </w:pPr>
            <w:r>
              <w:t xml:space="preserve">−0.019 (−0.027 to −0.011)</w:t>
            </w:r>
          </w:p>
        </w:tc>
        <w:tc>
          <w:tcPr/>
          <w:p>
            <w:pPr>
              <w:pStyle w:val="Compact"/>
            </w:pPr>
            <w:r>
              <w:t xml:space="preserve">+0.000 (−0.008 to +0.009)</w:t>
            </w:r>
          </w:p>
        </w:tc>
        <w:tc>
          <w:tcPr/>
          <w:p>
            <w:pPr>
              <w:pStyle w:val="Compact"/>
            </w:pPr>
            <w:r>
              <w:t xml:space="preserve">−0.006 (−0.014 to +0.003)</w:t>
            </w:r>
          </w:p>
        </w:tc>
        <w:tc>
          <w:tcPr/>
          <w:p>
            <w:pPr>
              <w:pStyle w:val="Compact"/>
            </w:pPr>
            <w:r>
              <w:t xml:space="preserve">−0.011 (−0.020 to −0.003)</w:t>
            </w:r>
          </w:p>
        </w:tc>
      </w:tr>
      <w:tr>
        <w:tc>
          <w:tcPr/>
          <w:p>
            <w:pPr>
              <w:pStyle w:val="Compact"/>
            </w:pPr>
            <w:r>
              <w:t xml:space="preserve">Treatment contraindications</w:t>
            </w:r>
          </w:p>
        </w:tc>
        <w:tc>
          <w:tcPr/>
          <w:p>
            <w:pPr>
              <w:pStyle w:val="Compact"/>
            </w:pPr>
            <w:r>
              <w:t xml:space="preserve">−0.002 (−0.004 to +0.001)</w:t>
            </w:r>
          </w:p>
        </w:tc>
        <w:tc>
          <w:tcPr/>
          <w:p>
            <w:pPr>
              <w:pStyle w:val="Compact"/>
            </w:pPr>
            <w:r>
              <w:t xml:space="preserve">+0.001 (−0.002 to +0.004)</w:t>
            </w:r>
          </w:p>
        </w:tc>
        <w:tc>
          <w:tcPr/>
          <w:p>
            <w:pPr>
              <w:pStyle w:val="Compact"/>
            </w:pPr>
            <w:r>
              <w:t xml:space="preserve">−0.001 (−0.005 to +0.003)</w:t>
            </w:r>
          </w:p>
        </w:tc>
        <w:tc>
          <w:tcPr/>
          <w:p>
            <w:pPr>
              <w:pStyle w:val="Compact"/>
            </w:pPr>
            <w:r>
              <w:t xml:space="preserve">−0.005 (−0.008 to −0.001)</w:t>
            </w:r>
          </w:p>
        </w:tc>
      </w:tr>
      <w:tr>
        <w:tc>
          <w:tcPr/>
          <w:p>
            <w:pPr>
              <w:pStyle w:val="Compact"/>
            </w:pPr>
            <w:r>
              <w:t xml:space="preserve">Social determinants (SDOH)</w:t>
            </w:r>
          </w:p>
        </w:tc>
        <w:tc>
          <w:tcPr/>
          <w:p>
            <w:pPr>
              <w:pStyle w:val="Compact"/>
            </w:pPr>
            <w:r>
              <w:t xml:space="preserve">−0.000 (−0.001 to +0.000)</w:t>
            </w:r>
          </w:p>
        </w:tc>
        <w:tc>
          <w:tcPr/>
          <w:p>
            <w:pPr>
              <w:pStyle w:val="Compact"/>
            </w:pPr>
            <w:r>
              <w:t xml:space="preserve">+0.000 (−0.001 to +0.001)</w:t>
            </w:r>
          </w:p>
        </w:tc>
        <w:tc>
          <w:tcPr/>
          <w:p>
            <w:pPr>
              <w:pStyle w:val="Compact"/>
            </w:pPr>
            <w:r>
              <w:t xml:space="preserve">+0.000 (−0.001 to +0.001)</w:t>
            </w:r>
          </w:p>
        </w:tc>
        <w:tc>
          <w:tcPr/>
          <w:p>
            <w:pPr>
              <w:pStyle w:val="Compact"/>
            </w:pPr>
            <w:r>
              <w:t xml:space="preserve">+0.001 (−0.001 to +0.002)</w:t>
            </w:r>
          </w:p>
        </w:tc>
      </w:tr>
      <w:tr>
        <w:tc>
          <w:tcPr/>
          <w:p>
            <w:pPr>
              <w:pStyle w:val="Compact"/>
            </w:pPr>
            <w:r>
              <w:t xml:space="preserve">Race/ethnicity</w:t>
            </w:r>
          </w:p>
        </w:tc>
        <w:tc>
          <w:tcPr/>
          <w:p>
            <w:pPr>
              <w:pStyle w:val="Compact"/>
            </w:pPr>
            <w:r>
              <w:t xml:space="preserve">−0.000 (−0.002 to +0.002)</w:t>
            </w:r>
          </w:p>
        </w:tc>
        <w:tc>
          <w:tcPr/>
          <w:p>
            <w:pPr>
              <w:pStyle w:val="Compact"/>
            </w:pPr>
            <w:r>
              <w:t xml:space="preserve">+0.000 (−0.003 to +0.003)</w:t>
            </w:r>
          </w:p>
        </w:tc>
        <w:tc>
          <w:tcPr/>
          <w:p>
            <w:pPr>
              <w:pStyle w:val="Compact"/>
            </w:pPr>
            <w:r>
              <w:t xml:space="preserve">−0.003 (−0.006 to +0.001)</w:t>
            </w:r>
          </w:p>
        </w:tc>
        <w:tc>
          <w:tcPr/>
          <w:p>
            <w:pPr>
              <w:pStyle w:val="Compact"/>
            </w:pPr>
            <w:r>
              <w:t xml:space="preserve">−0.000 (−0.003 to +0.003)</w:t>
            </w:r>
          </w:p>
        </w:tc>
      </w:tr>
    </w:tbl>
    <w:p>
      <w:pPr>
        <w:pStyle w:val="BodyText"/>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663334"/>
            <wp:effectExtent b="0" l="0" r="0" t="0"/>
            <wp:docPr descr="" title="" id="26" name="Picture"/>
            <a:graphic>
              <a:graphicData uri="http://schemas.openxmlformats.org/drawingml/2006/picture">
                <pic:pic>
                  <pic:nvPicPr>
                    <pic:cNvPr descr="../results/cross_embedder_robustness_EMBEDDED.png" id="27" name="Picture"/>
                    <pic:cNvPicPr>
                      <a:picLocks noChangeArrowheads="1" noChangeAspect="1"/>
                    </pic:cNvPicPr>
                  </pic:nvPicPr>
                  <pic:blipFill>
                    <a:blip r:embed="rId25"/>
                    <a:stretch>
                      <a:fillRect/>
                    </a:stretch>
                  </pic:blipFill>
                  <pic:spPr bwMode="auto">
                    <a:xfrm>
                      <a:off x="0" y="0"/>
                      <a:ext cx="5486400" cy="2663334"/>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28"/>
    <w:bookmarkStart w:id="32" w:name="nearest-neighbor-retrieval"/>
    <w:p>
      <w:pPr>
        <w:pStyle w:val="Heading2"/>
      </w:pPr>
      <w:r>
        <w:t xml:space="preserve">Nearest-Neighbor Retrieval</w:t>
      </w:r>
    </w:p>
    <w:p>
      <w:pPr>
        <w:pStyle w:val="FirstParagraph"/>
      </w:pPr>
      <w:r>
        <w:t xml:space="preserve">Retrieval is reported as a curve over neighborhood size (Figure 4D for the primary encoder). At every k from 1 to 34,063, both nearest-neighbor metrics stayed below both leading classifiers, and random retrieval stayed at chance. Neighborhood size mattered more than the similarity metric. Discrimination rose with k up to a few hundred neighbors. From k = 261 onward, logistic-regression-weighted retrieval stayed inside the interval at its best k. Plain cosine retrieval peaked and then drifted down, to 0.605 (95% CI 0.589–0.620) at k = 16,988. Each arm’s maximum was read at its best k, chosen on the test patients, so these maxima are optimistic. Logistic-regression-weighted retrieval reached 0.625 (95% CI 0.610–0.641) at k = 295, plain cosine 0.618 (95% CI 0.602–0.634) at k = 757, and random retrieval 0.500 (2.5th–97.5th percentile across draws 0.484–0.515) at k = 32,720, a best k that is noise. The 2 nearest-neighbor metrics exceeded random retrieval by 0.125 (95% CI 0.103–0.147) and 0.118 (95% CI 0.096–0.140), respectively, and differed from each other by 0.007 (95% CI −0.001 to 0.014). The best retrieval result over every k and exponent was logistic-regression-weighted retrieval with α = 2 at k = 1,090, 0.625 (95% CI 0.610–0.640). It was still lower than feature-vector XGBoost by 0.024 (95% CI 0.012–0.036) and lower than embedded logistic regression by 0.032 (95% CI 0.022–0.043). Using all 34,063 training patients as neighbors, with no k chosen, gave 0.624 (95% CI 0.607–0.639) for logistic-regression-weighted retrieval and 0.608 (95% CI 0.592–0.624) for plain cosine. These stay above chance because each neighbor’s vote is weighted by its similarity, so the same 34,063 neighbors are weighed differently for each patient. With equal weights, every patient would get the same score and ROC AUC would be exactly 0.5, which is what random retrieval gave at k = 34,063. ROC curves and confusion matrices at each arm’s best k are in Multimedia Appendix 1, section S6.</w:t>
      </w:r>
    </w:p>
    <w:p>
      <w:pPr>
        <w:pStyle w:val="BodyText"/>
      </w:pPr>
      <w:r>
        <w:drawing>
          <wp:inline>
            <wp:extent cx="5486400" cy="5035534"/>
            <wp:effectExtent b="0" l="0" r="0" t="0"/>
            <wp:docPr descr="" title="" id="30" name="Picture"/>
            <a:graphic>
              <a:graphicData uri="http://schemas.openxmlformats.org/drawingml/2006/picture">
                <pic:pic>
                  <pic:nvPicPr>
                    <pic:cNvPr descr="../results/cross_embedder_retrieval/neighbor_count_sweep_panels.png" id="31" name="Picture"/>
                    <pic:cNvPicPr>
                      <a:picLocks noChangeArrowheads="1" noChangeAspect="1"/>
                    </pic:cNvPicPr>
                  </pic:nvPicPr>
                  <pic:blipFill>
                    <a:blip r:embed="rId29"/>
                    <a:stretch>
                      <a:fillRect/>
                    </a:stretch>
                  </pic:blipFill>
                  <pic:spPr bwMode="auto">
                    <a:xfrm>
                      <a:off x="0" y="0"/>
                      <a:ext cx="5486400" cy="5035534"/>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Retrieval discrimination by neighborhood size for the 4 encoders: (A) bge-small-en-v1.5, (B) bge-en-icl, (C) Qwen3-Embedding-4B, and (D) Qwen3-Embedding-8B, the primary encoder. Each panel title gives the encoder’s number of embedding dimensions. Each panel draws ROC AUC in 8,516 test patients at every k from 1 to 34,063. Lines are the retrieval arms: logistic-regression-weighted and plain cosine retrieval with bootstrap 95% bands, and random retrieval with uniform weights, as the mean across 1,000 draws within the 2.5th–97.5th percentile of the draws. Each encoder’s weights come from its own embedded logistic regression. Random retrieval does not use the embedding, so it is the same in every panel. Diamonds mark each arm’s best k, chosen on the test patients, so the values there are optimistic; the random arm’s best k is noise. Each panel’s best-k values are listed beneath it. Horizontal lines mark that encoder’s embedded logistic regression and feature-vector XGBoost, which is the same in every panel. Curves use α = 1; for the primary encoder, the maxima under α = 1, 2, and 5 agreed within 0.002.</w:t>
      </w:r>
    </w:p>
    <w:bookmarkEnd w:id="32"/>
    <w:bookmarkStart w:id="33" w:name="X396e520dd6495a396736514718baa51d7644dd0"/>
    <w:p>
      <w:pPr>
        <w:pStyle w:val="Heading2"/>
      </w:pPr>
      <w:r>
        <w:t xml:space="preserve">Nearest-Neighbor Retrieval Across Encoders</w:t>
      </w:r>
    </w:p>
    <w:p>
      <w:pPr>
        <w:pStyle w:val="FirstParagraph"/>
      </w:pPr>
      <w:r>
        <w:t xml:space="preserve">We repeated the neighborhood-size sweep for the other 3 encoders under the same rules, for both nearest-neighbor metrics and random retrieval. Each encoder’s logistic-regression-weighted similarity used the coefficients of that encoder’s own embedded logistic regression. For every encoder, both nearest-neighbor curves stayed below that encoder’s embedded logistic regression at every k (Figure 4A–D). Each metric’s maximum was read at its own best k under α = 1, chosen on the test patients, so these maxima are optimistic.</w:t>
      </w:r>
    </w:p>
    <w:p>
      <w:pPr>
        <w:pStyle w:val="BodyText"/>
      </w:pPr>
      <w:r>
        <w:t xml:space="preserve">Logistic-regression-weighted retrieval at its best k reached 0.606 (95% CI 0.590–0.620) at k = 579 for bge-small-en-v1.5, 0.631 (95% CI 0.616–0.646) at k = 1,519 for bge-en-icl, 0.623 (95% CI 0.607–0.639) at k = 684 for Qwen3-Embedding-4B, and 0.625 (95% CI 0.610–0.641) at k = 295 for Qwen3-Embedding-8B. Embedded logistic regression reached 0.645 (95% CI 0.629–0.660), 0.655 (95% CI 0.641–0.670), 0.655 (95% CI 0.641–0.670), and 0.657 (95% CI 0.643–0.672) for the same encoders. For each encoder, the upper bound of the retrieval interval lay below the logistic-regression estimate. Paired contrasts were computed for the primary encoder only.</w:t>
      </w:r>
    </w:p>
    <w:p>
      <w:pPr>
        <w:pStyle w:val="BodyText"/>
      </w:pPr>
      <w:r>
        <w:t xml:space="preserve">Plain cosine retrieval peaked at k = 1,243, 413, 493, and 757 for the same 4 encoders. It reached 0.602 (95% CI 0.586–0.618), 0.620 (95% CI 0.605–0.637), 0.621 (95% CI 0.605–0.637), and 0.618 (95% CI 0.602–0.634), lower than the weighted metric for every encoder. Only the primary encoder’s difference was tested, 0.007 (95% CI −0.001 to 0.014), and its interval includes zero. Agreement in direction across 4 encoders does not show that weighting helps, because each maximum was read at its own best k. Every best k for either metric lay between 295 and 1,519. Using all 34,063 training patients as neighbors, weighted retrieval gave 0.617 (95% CI 0.600–0.633) to 0.629 (95% CI 0.614–0.645) for the 3 larger encoders. For bge-small-en-v1.5 it fell to 0.580 (95% CI 0.565–0.595), the steepest decline of any encoder’s weighted curve at large k. Near the whole pool (k above about 30,500), every patient’s neighborhood is nearly the same set, so the risk estimates differ by about 0.0004 (risk SD 4.00 × 10⁻⁴ at bge-small-en-v1.5’s lowest point, k = 31,447), and plain cosine ROC AUC becomes unstable, ranging from 0.511 to 0.582 for bge-small-en-v1.5 and from 0.579 to 0.606 for bge-en-icl, with no change to any conclusion. ROC curves and confusion matrices for each encoder’s nearest-neighbor metrics at their best k are in Multimedia Appendix 1, section S6.</w:t>
      </w:r>
    </w:p>
    <w:p>
      <w:pPr>
        <w:pStyle w:val="BodyText"/>
      </w:pPr>
      <w:r>
        <w:t xml:space="preserve">Best k followed no clear pattern. Two encoders with the same 4,096 dimensions moved in opposite directions when weighting was added: best k rose from 413 to 1,519 for bge-en-icl and fell from 757 to 295 for Qwen3-Embedding-8B. The curves were flat near their peaks, which accounts for much of this. For every encoder and metric, ROC AUC stayed within 0.005 of its maximum over a wide range of k. That range began between k = 164 and 549 and ended between k = 1,613 and the whole pool of 34,063. These ranges describe the observed curves and carry no sampling interval. On a curve this flat, a small change in the patients can move the best k a long way while barely changing ROC AUC. The range of k that performs near the peak is more informative than the single best k.</w:t>
      </w:r>
    </w:p>
    <w:p>
      <w:pPr>
        <w:pStyle w:val="BodyText"/>
      </w:pPr>
      <w:r>
        <w:t xml:space="preserve">Best k also did not follow how many embedding dimensions each logistic regression relied on, whether counted directly or as a share of the encoder’s dimensions (Multimedia Appendix 1, section S6, Figures S10–S11).</w:t>
      </w:r>
    </w:p>
    <w:bookmarkEnd w:id="33"/>
    <w:bookmarkStart w:id="37" w:name="subgroup-performance"/>
    <w:p>
      <w:pPr>
        <w:pStyle w:val="Heading2"/>
      </w:pPr>
      <w:r>
        <w:t xml:space="preserve">Subgroup Performance</w:t>
      </w:r>
    </w:p>
    <w:p>
      <w:pPr>
        <w:pStyle w:val="FirstParagraph"/>
      </w:pPr>
      <w:r>
        <w:t xml:space="preserve">Subgroup analyses covered all 8 classifiers and both nearest-neighbor arms, for the primary encoder; each retrieval arm was scored at its best k. Each contrast compared one group’s ROC AUC with that of all other test patients, for the same model. The groups were of 2 kinds. Sociodemographic groups (sex, race, age, marital status, smoking, and religion) ask whether the models work equally well for different people. Clinical groups (MDD recurrence and severity) ask whether they work equally well across ways the illness was recorded.</w:t>
      </w:r>
    </w:p>
    <w:p>
      <w:pPr>
        <w:pStyle w:val="BodyText"/>
      </w:pPr>
      <w:r>
        <w:t xml:space="preserve">Of 240 contrasts, 23 survived Benjamini–Hochberg adjustment for multiple comparisons, and both kinds of group contributed (Figure 5). Nineteen were clinical, all involving recurrence. Every model discriminated better in patients coded with recurrent depression, by +0.053 (95% CI +0.022 to +0.085) to +0.072 (95% CI +0.041 to +0.104). Nine of 10 discriminated worse in patients coded with a single episode, by −0.047 (95% CI −0.079 to −0.014) to −0.071 (95% CI −0.105 to −0.039). These describe how the illness was recorded, not who the patients are, so they are not fairness findings.</w:t>
      </w:r>
    </w:p>
    <w:p>
      <w:pPr>
        <w:pStyle w:val="BodyText"/>
      </w:pPr>
      <w:r>
        <w:t xml:space="preserve">The other 4 were sociodemographic. Discrimination was lower among never-married patients for 2 embedded classifiers and logistic-regression-weighted retrieval, by −0.047 (95% CI −0.080 to −0.012) to −0.054 (95% CI −0.090 to −0.019). It was lower among patients aged 18–29 for feature-vector XGBoost, by −0.068 (95% CI −0.117 to −0.022). Sex contrasts did not show clear differences. White-minus-non-White ROC AUC differences were consistently positive, from +0.005 (95% CI −0.031 to +0.042) to +0.046 (95% CI +0.006 to +0.087), but none survived adjustment. These findings do not establish equitable performance. Calibration within each subgroup is in Multimedia Appendix 1, section S9.</w:t>
      </w:r>
    </w:p>
    <w:p>
      <w:pPr>
        <w:pStyle w:val="BodyText"/>
      </w:pPr>
      <w:r>
        <w:drawing>
          <wp:inline>
            <wp:extent cx="5029200" cy="5297567"/>
            <wp:effectExtent b="0" l="0" r="0" t="0"/>
            <wp:docPr descr="" title="" id="35" name="Picture"/>
            <a:graphic>
              <a:graphicData uri="http://schemas.openxmlformats.org/drawingml/2006/picture">
                <pic:pic>
                  <pic:nvPicPr>
                    <pic:cNvPr descr="../results/review/subgroups/subgroup_surviving_contrasts.png" id="36" name="Picture"/>
                    <pic:cNvPicPr>
                      <a:picLocks noChangeArrowheads="1" noChangeAspect="1"/>
                    </pic:cNvPicPr>
                  </pic:nvPicPr>
                  <pic:blipFill>
                    <a:blip r:embed="rId34"/>
                    <a:stretch>
                      <a:fillRect/>
                    </a:stretch>
                  </pic:blipFill>
                  <pic:spPr bwMode="auto">
                    <a:xfrm>
                      <a:off x="0" y="0"/>
                      <a:ext cx="5029200" cy="5297567"/>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Subgroup contrasts that survived Benjamini–Hochberg adjustment across 240 contrasts, for the primary encoder. Each row is one model’s ROC AUC in the named group minus its ROC AUC in all other test patients, with a bootstrap 95% CI. Every model whose contrast survived is shown; the other 217 contrasts did not survive. Multimedia Appendix 1, section S9 gives discrimination and calibration within each subgroup for one model per approach and summarizes the sex and race contrasts. Clinical groups describe how depression was recorded; sociodemographic groups describe the patients. Group sizes and outcome counts are for the test patients. Retrieval arms are scored at their best k, chosen on the test patients. LR: logistic regression; MDD: major depressive disorder.</w:t>
      </w:r>
    </w:p>
    <w:bookmarkEnd w:id="37"/>
    <w:bookmarkEnd w:id="38"/>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2026-10-10T14:34:51Z</dcterms:created>
  <dcterms:modified xsi:type="dcterms:W3CDTF">2026-10-10T14:34:51Z</dcterms:modified>
</cp:coreProperties>
</file>

<file path=docProps/custom.xml><?xml version="1.0" encoding="utf-8"?>
<Properties xmlns="http://schemas.openxmlformats.org/officeDocument/2006/custom-properties" xmlns:vt="http://schemas.openxmlformats.org/officeDocument/2006/docPropsVTypes"/>
</file>