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30 August 2026</w:t>
      </w:r>
    </w:p>
    <w:p>
      <w:pPr>
        <w:pStyle w:val="BodyText"/>
      </w:pPr>
      <w:r>
        <w:t xml:space="preserve">The Editors</w:t>
      </w:r>
      <w:r>
        <w:t xml:space="preserve"> </w:t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Typed Feature Vectors, Generalized Pretrained Transformer Embeddings of</w:t>
      </w:r>
      <w:r>
        <w:rPr>
          <w:bCs/>
          <w:b/>
        </w:rPr>
        <w:t xml:space="preserve"> </w:t>
      </w:r>
      <w:r>
        <w:rPr>
          <w:bCs/>
          <w:b/>
        </w:rPr>
        <w:t xml:space="preserve">Deterministic Patient Narratives, and Nearest-Neighbor Retrieval for Predicting</w:t>
      </w:r>
      <w:r>
        <w:rPr>
          <w:bCs/>
          <w:b/>
        </w:rPr>
        <w:t xml:space="preserve"> </w:t>
      </w:r>
      <w:r>
        <w:rPr>
          <w:bCs/>
          <w:b/>
        </w:rPr>
        <w:t xml:space="preserve">a Treatment-Switch–Defined Electronic Health Record Proxy for Treatment-</w:t>
      </w:r>
      <w:r>
        <w:rPr>
          <w:bCs/>
          <w:b/>
        </w:rPr>
        <w:t xml:space="preserve"> </w:t>
      </w:r>
      <w:r>
        <w:rPr>
          <w:bCs/>
          <w:b/>
        </w:rPr>
        <w:t xml:space="preserve">Resistant Depression: Retrospective Cohort Study,</w:t>
      </w:r>
      <w:r>
        <w:rPr>
          <w:bCs/>
          <w:b/>
        </w:rP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</w:t>
      </w:r>
      <w:r>
        <w:t xml:space="preserve"> </w:t>
      </w:r>
      <w:r>
        <w:rPr>
          <w:iCs/>
          <w:i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This study asks whether routinely collected electronic health record</w:t>
      </w:r>
      <w:r>
        <w:t xml:space="preserve"> </w:t>
      </w:r>
      <w:r>
        <w:t xml:space="preserve">(EHR) data can predict a treatment-switch–defined EHR proxy for</w:t>
      </w:r>
      <w:r>
        <w:t xml:space="preserve"> </w:t>
      </w:r>
      <w:r>
        <w:t xml:space="preserve">treatment-resistant depression (TRD) at the point of a patient’s index</w:t>
      </w:r>
      <w:r>
        <w:t xml:space="preserve"> </w:t>
      </w:r>
      <w:r>
        <w:t xml:space="preserve">antidepressant prescription. It makes two points, and the manuscript is organized around them.</w:t>
      </w:r>
    </w:p>
    <w:p>
      <w:pPr>
        <w:pStyle w:val="BodyText"/>
      </w:pPr>
      <w:r>
        <w:t xml:space="preserve">The first is that writing the record out as text and embedding it with a</w:t>
      </w:r>
      <w:r>
        <w:t xml:space="preserve"> </w:t>
      </w:r>
      <w:r>
        <w:t xml:space="preserve">general-purpose transformer does not beat a transparent typed feature</w:t>
      </w:r>
      <w:r>
        <w:t xml:space="preserve"> </w:t>
      </w:r>
      <w:r>
        <w:t xml:space="preserve">vector built from the same record. In a cohort of 42,579 patients the</w:t>
      </w:r>
      <w:r>
        <w:t xml:space="preserve"> </w:t>
      </w:r>
      <w:r>
        <w:t xml:space="preserve">paired difference between the two best models is +0.008 ROC AUC (95% CI</w:t>
      </w:r>
      <w:r>
        <w:t xml:space="preserve"> </w:t>
      </w:r>
      <w:r>
        <w:t xml:space="preserve">−0.003 to +0.019), and the result holds across four encoders. The</w:t>
      </w:r>
      <w:r>
        <w:t xml:space="preserve"> </w:t>
      </w:r>
      <w:r>
        <w:t xml:space="preserve">comparison is nevertheless not a simple tie: the embedding significantly</w:t>
      </w:r>
      <w:r>
        <w:t xml:space="preserve"> </w:t>
      </w:r>
      <w:r>
        <w:t xml:space="preserve">helps logistic regression and significantly hurts all three tree</w:t>
      </w:r>
      <w:r>
        <w:t xml:space="preserve"> </w:t>
      </w:r>
      <w:r>
        <w:t xml:space="preserve">ensembles, so representation and learner are one design choice rather</w:t>
      </w:r>
      <w:r>
        <w:t xml:space="preserve"> </w:t>
      </w:r>
      <w:r>
        <w:t xml:space="preserve">than two.</w:t>
      </w:r>
    </w:p>
    <w:p>
      <w:pPr>
        <w:pStyle w:val="BodyText"/>
      </w:pPr>
      <w:r>
        <w:t xml:space="preserve">The second is that predicting a patient from their nearest neighbors in</w:t>
      </w:r>
      <w:r>
        <w:t xml:space="preserve"> </w:t>
      </w:r>
      <w:r>
        <w:t xml:space="preserve">that embedding — the clinical digital-twin premise — recovers real</w:t>
      </w:r>
      <w:r>
        <w:t xml:space="preserve"> </w:t>
      </w:r>
      <w:r>
        <w:t xml:space="preserve">signal and still loses decisively to a model fitted on the same</w:t>
      </w:r>
      <w:r>
        <w:t xml:space="preserve"> </w:t>
      </w:r>
      <w:r>
        <w:t xml:space="preserve">representation. Nearest retrieval reaches 0.594 against 0.499 for random</w:t>
      </w:r>
      <w:r>
        <w:t xml:space="preserve"> </w:t>
      </w:r>
      <w:r>
        <w:t xml:space="preserve">retrieval and 0.432 for farthest retrieval, which establishes that</w:t>
      </w:r>
      <w:r>
        <w:t xml:space="preserve"> </w:t>
      </w:r>
      <w:r>
        <w:t xml:space="preserve">proximity in the embedding tracks TRD risk. It nevertheless falls 0.063</w:t>
      </w:r>
      <w:r>
        <w:t xml:space="preserve"> </w:t>
      </w:r>
      <w:r>
        <w:t xml:space="preserve">ROC AUC short of the trained classifier, on intervals that do not</w:t>
      </w:r>
      <w:r>
        <w:t xml:space="preserve"> </w:t>
      </w:r>
      <w:r>
        <w:t xml:space="preserve">overlap, and that shortfall reproduces on every encoder tested.</w:t>
      </w:r>
    </w:p>
    <w:p>
      <w:pPr>
        <w:pStyle w:val="BodyText"/>
      </w:pPr>
      <w:r>
        <w:t xml:space="preserve">One thing is true of both results and bounds both, and the manuscript stresses</w:t>
      </w:r>
      <w:r>
        <w:t xml:space="preserve"> </w:t>
      </w:r>
      <w:r>
        <w:t xml:space="preserve">it rather than leaving it to be inferred: in both arms the patient data were</w:t>
      </w:r>
      <w:r>
        <w:t xml:space="preserve"> </w:t>
      </w:r>
      <w:r>
        <w:t xml:space="preserve">hand-picked. Predictor selection ran once, before either representation</w:t>
      </w:r>
      <w:r>
        <w:t xml:space="preserve"> </w:t>
      </w:r>
      <w:r>
        <w:t xml:space="preserve">existed, and the narrative the encoder reads is a fixed template over that same</w:t>
      </w:r>
      <w:r>
        <w:t xml:space="preserve"> </w:t>
      </w:r>
      <w:r>
        <w:t xml:space="preserve">selection. Serialize-and-embed is often recommended as a way to stop choosing</w:t>
      </w:r>
      <w:r>
        <w:t xml:space="preserve"> </w:t>
      </w:r>
      <w:r>
        <w:t xml:space="preserve">features, and a reader arriving at a parity result with that expectation will</w:t>
      </w:r>
      <w:r>
        <w:t xml:space="preserve"> </w:t>
      </w:r>
      <w:r>
        <w:t xml:space="preserve">read it as</w:t>
      </w:r>
      <w:r>
        <w:t xml:space="preserve"> </w:t>
      </w:r>
      <w:r>
        <w:t xml:space="preserve">“</w:t>
      </w:r>
      <w:r>
        <w:t xml:space="preserve">the embedder did as well with no feature engineering</w:t>
      </w:r>
      <w:r>
        <w:t xml:space="preserve">”</w:t>
      </w:r>
      <w:r>
        <w:t xml:space="preserve">. The</w:t>
      </w:r>
      <w:r>
        <w:t xml:space="preserve"> </w:t>
      </w:r>
      <w:r>
        <w:t xml:space="preserve">engineering was relocated, not removed, and a whole untailored record was never</w:t>
      </w:r>
      <w:r>
        <w:t xml:space="preserve"> </w:t>
      </w:r>
      <w:r>
        <w:t xml:space="preserve">embedded. Supplement S10 is the field-by-field evidence.</w:t>
      </w:r>
    </w:p>
    <w:p>
      <w:pPr>
        <w:pStyle w:val="BodyText"/>
      </w:pPr>
      <w:r>
        <w:t xml:space="preserve">Discrimination is modest throughout (ROC AUC ≈ 0.65)</w:t>
      </w:r>
      <w:r>
        <w:t xml:space="preserve"> </w:t>
      </w:r>
      <w:r>
        <w:t xml:space="preserve">and the predictive signal localizes to clinical content, psychiatric history</w:t>
      </w:r>
      <w:r>
        <w:t xml:space="preserve"> </w:t>
      </w:r>
      <w:r>
        <w:t xml:space="preserve">and medication burden, rather than to the sociodemographic fields supplied to</w:t>
      </w:r>
      <w:r>
        <w:t xml:space="preserve"> </w:t>
      </w:r>
      <w:r>
        <w:t xml:space="preserve">the models. Subgroup discrimination and calibration are reported across</w:t>
      </w:r>
      <w:r>
        <w:t xml:space="preserve"> </w:t>
      </w:r>
      <w:r>
        <w:t xml:space="preserve">eight strata with multiplicity control. We are explicit throughout that</w:t>
      </w:r>
      <w:r>
        <w:t xml:space="preserve"> </w:t>
      </w:r>
      <w:r>
        <w:t xml:space="preserve">the target is a treatment-switch proxy rather than measured</w:t>
      </w:r>
      <w:r>
        <w:t xml:space="preserve"> </w:t>
      </w:r>
      <w:r>
        <w:t xml:space="preserve">non-response, that the study is an internal validation by a single</w:t>
      </w:r>
      <w:r>
        <w:t xml:space="preserve"> </w:t>
      </w:r>
      <w:r>
        <w:t xml:space="preserve">random split, and that it reports no fairness assessment. A Limitations</w:t>
      </w:r>
      <w:r>
        <w:t xml:space="preserve"> </w:t>
      </w:r>
      <w:r>
        <w:t xml:space="preserve">section states these and seven others in order of how much they bound</w:t>
      </w:r>
      <w:r>
        <w:t xml:space="preserve"> </w:t>
      </w:r>
      <w:r>
        <w:t xml:space="preserve">the conclusions.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Cs/>
          <w:b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Funding, conflict</w:t>
      </w:r>
      <w:r>
        <w:t xml:space="preserve"> </w:t>
      </w:r>
      <w:r>
        <w:t xml:space="preserve">of interest, and ethics/IRB statements are provided in the manuscript’s</w:t>
      </w:r>
      <w:r>
        <w:t xml:space="preserve"> </w:t>
      </w:r>
      <w:r>
        <w:t xml:space="preserve">Declarations: no conflicts of interest are declared; the work was funded</w:t>
      </w:r>
      <w:r>
        <w:t xml:space="preserve"> </w:t>
      </w:r>
      <w:r>
        <w:t xml:space="preserve">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containing no protected health information,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mferguson@laureateinstitute.org</w:t>
      </w:r>
      <w:r>
        <w:t xml:space="preserve"> </w:t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2026-09-08T19:38:29Z</dcterms:created>
  <dcterms:modified xsi:type="dcterms:W3CDTF">2026-09-08T19:38:29Z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