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Major depressive disorder is among the most prevalent and disabling</w:t>
      </w:r>
      <w:r>
        <w:t xml:space="preserve"> </w:t>
      </w:r>
      <w:r>
        <w:t xml:space="preserve">medical conditions, and antidepressant pharmacotherapy is its</w:t>
      </w:r>
      <w:r>
        <w:t xml:space="preserve"> </w:t>
      </w:r>
      <w:r>
        <w:t xml:space="preserve">first-line treatment. A substantial minority of patients fail to achieve</w:t>
      </w:r>
      <w:r>
        <w:t xml:space="preserve"> </w:t>
      </w:r>
      <w:r>
        <w:t xml:space="preserve">remission despite successive adequate trials. These patients are</w:t>
      </w:r>
      <w:r>
        <w:t xml:space="preserve"> </w:t>
      </w:r>
      <w:r>
        <w:t xml:space="preserve">described as having treatment-resistant depression (TRD), most commonly</w:t>
      </w:r>
      <w:r>
        <w:t xml:space="preserve"> </w:t>
      </w:r>
      <w:r>
        <w:t xml:space="preserve">operationalized as the failure of at least two antidepressant trials of</w:t>
      </w:r>
      <w:r>
        <w:t xml:space="preserve"> </w:t>
      </w:r>
      <w:r>
        <w:t xml:space="preserve">adequate dose and duration [4]. The sequential-treatment evidence base,</w:t>
      </w:r>
      <w:r>
        <w:t xml:space="preserve"> </w:t>
      </w:r>
      <w:r>
        <w:t xml:space="preserve">anchored by the STAR*D program, established that remission rates fall</w:t>
      </w:r>
      <w:r>
        <w:t xml:space="preserve"> </w:t>
      </w:r>
      <w:r>
        <w:t xml:space="preserve">sharply with each successive treatment step. Patients who move into a</w:t>
      </w:r>
      <w:r>
        <w:t xml:space="preserve"> </w:t>
      </w:r>
      <w:r>
        <w:t xml:space="preserve">third or fourth step face a markedly lower probability of recovery [5].</w:t>
      </w:r>
      <w:r>
        <w:t xml:space="preserve"> </w:t>
      </w:r>
      <w:r>
        <w:t xml:space="preserve">TRD accordingly accounts for a disproportionate share of the clinical</w:t>
      </w:r>
      <w:r>
        <w:t xml:space="preserve"> </w:t>
      </w:r>
      <w:r>
        <w:t xml:space="preserve">morbidity, functional impairment, and health-care cost attributable to</w:t>
      </w:r>
      <w:r>
        <w:t xml:space="preserve"> </w:t>
      </w:r>
      <w:r>
        <w:t xml:space="preserve">depression [1].</w:t>
      </w:r>
    </w:p>
    <w:p>
      <w:pPr>
        <w:pStyle w:val="BodyText"/>
      </w:pPr>
      <w:r>
        <w:t xml:space="preserve">Escalation options become both more necessary and less likely to succeed</w:t>
      </w:r>
      <w:r>
        <w:t xml:space="preserve"> </w:t>
      </w:r>
      <w:r>
        <w:t xml:space="preserve">as resistance develops. There is therefore longstanding interest in</w:t>
      </w:r>
      <w:r>
        <w:t xml:space="preserve"> </w:t>
      </w:r>
      <w:r>
        <w:t xml:space="preserve">identifying, as early as possible, which patients are at high risk of</w:t>
      </w:r>
      <w:r>
        <w:t xml:space="preserve"> </w:t>
      </w:r>
      <w:r>
        <w:t xml:space="preserve">progressing to TRD. If such patients could be flagged at the point of</w:t>
      </w:r>
      <w:r>
        <w:t xml:space="preserve"> </w:t>
      </w:r>
      <w:r>
        <w:t xml:space="preserve">their index antidepressant prescription, clinicians could in principle</w:t>
      </w:r>
      <w:r>
        <w:t xml:space="preserve"> </w:t>
      </w:r>
      <w:r>
        <w:t xml:space="preserve">monitor them more closely and escalate sooner.</w:t>
      </w:r>
    </w:p>
    <w:p>
      <w:pPr>
        <w:pStyle w:val="BodyText"/>
      </w:pPr>
      <w:r>
        <w:t xml:space="preserve">An electronic health record (EHR) does not say whether a patient got better,</w:t>
      </w:r>
      <w:r>
        <w:t xml:space="preserve"> </w:t>
      </w:r>
      <w:r>
        <w:t xml:space="preserve">and rarely says whether a drug was given long enough at a high enough dose to</w:t>
      </w:r>
      <w:r>
        <w:t xml:space="preserve"> </w:t>
      </w:r>
      <w:r>
        <w:t xml:space="preserve">count as a fair trial. What it does record is which antidepressants were</w:t>
      </w:r>
      <w:r>
        <w:t xml:space="preserve"> </w:t>
      </w:r>
      <w:r>
        <w:t xml:space="preserve">prescribed and when. So studies define TRD from the prescription sequence</w:t>
      </w:r>
      <w:r>
        <w:t xml:space="preserve"> </w:t>
      </w:r>
      <w:r>
        <w:t xml:space="preserve">itself, which is what makes a cohort of tens of thousands possible at all. A</w:t>
      </w:r>
      <w:r>
        <w:t xml:space="preserve"> </w:t>
      </w:r>
      <w:r>
        <w:t xml:space="preserve">sequence is not proof of failure. A patient may be switched because the drug</w:t>
      </w:r>
      <w:r>
        <w:t xml:space="preserve"> </w:t>
      </w:r>
      <w:r>
        <w:t xml:space="preserve">did not work, or because it was not tolerated, or because they stopped taking</w:t>
      </w:r>
      <w:r>
        <w:t xml:space="preserve"> </w:t>
      </w:r>
      <w:r>
        <w:t xml:space="preserve">it. And the rule is not fixed: research groups count treatments, minimum</w:t>
      </w:r>
      <w:r>
        <w:t xml:space="preserve"> </w:t>
      </w:r>
      <w:r>
        <w:t xml:space="preserve">durations, switches and augmentations differently, and changing the rule</w:t>
      </w:r>
      <w:r>
        <w:t xml:space="preserve"> </w:t>
      </w:r>
      <w:r>
        <w:t xml:space="preserve">changes both how many patients count as TRD and which ones [6-8].</w:t>
      </w:r>
    </w:p>
    <w:p>
      <w:pPr>
        <w:pStyle w:val="BodyText"/>
      </w:pPr>
      <w:r>
        <w:t xml:space="preserve">Others have already tried to predict TRD from what an EHR records, and the</w:t>
      </w:r>
      <w:r>
        <w:t xml:space="preserve"> </w:t>
      </w:r>
      <w:r>
        <w:t xml:space="preserve">numbers they report vary far more than the methods do. One study of 35,246</w:t>
      </w:r>
      <w:r>
        <w:t xml:space="preserve"> </w:t>
      </w:r>
      <w:r>
        <w:t xml:space="preserve">adults reported a ROC AUC of 0.83 [9]. A model that was validated on a second</w:t>
      </w:r>
      <w:r>
        <w:t xml:space="preserve"> </w:t>
      </w:r>
      <w:r>
        <w:t xml:space="preserve">health system reached 0.652 [10]. Adding clinical notes to structured fields</w:t>
      </w:r>
      <w:r>
        <w:t xml:space="preserve"> </w:t>
      </w:r>
      <w:r>
        <w:t xml:space="preserve">reached 0.728 at a single site [11]. And in a three-system study, figures of</w:t>
      </w:r>
      <w:r>
        <w:t xml:space="preserve"> </w:t>
      </w:r>
      <w:r>
        <w:t xml:space="preserve">0.58 to 0.64 inside the site that built the model fell to 0.51 to 0.58 when it</w:t>
      </w:r>
      <w:r>
        <w:t xml:space="preserve"> </w:t>
      </w:r>
      <w:r>
        <w:t xml:space="preserve">was tested elsewhere [12]. The spread comes from how each study defined TRD,</w:t>
      </w:r>
      <w:r>
        <w:t xml:space="preserve"> </w:t>
      </w:r>
      <w:r>
        <w:t xml:space="preserve">how far ahead it predicted, and whether it was ever tested outside the site it</w:t>
      </w:r>
      <w:r>
        <w:t xml:space="preserve"> </w:t>
      </w:r>
      <w:r>
        <w:t xml:space="preserve">was built in, so there is no single figure to beat. Two things survive the</w:t>
      </w:r>
      <w:r>
        <w:t xml:space="preserve"> </w:t>
      </w:r>
      <w:r>
        <w:t xml:space="preserve">variation. Structured EHR fields carry real signal, and the sharpest drops come</w:t>
      </w:r>
      <w:r>
        <w:t xml:space="preserve"> </w:t>
      </w:r>
      <w:r>
        <w:t xml:space="preserve">at the point where a model meets a health system it was not built on</w:t>
      </w:r>
      <w:r>
        <w:t xml:space="preserve"> </w:t>
      </w:r>
      <w:r>
        <w:t xml:space="preserve">[8,10-12].</w:t>
      </w:r>
    </w:p>
    <w:p>
      <w:pPr>
        <w:pStyle w:val="BodyText"/>
      </w:pPr>
      <w:r>
        <w:t xml:space="preserve">Two questions about how to use such a record motivate this study, and they are</w:t>
      </w:r>
      <w:r>
        <w:t xml:space="preserve"> </w:t>
      </w:r>
      <w:r>
        <w:t xml:space="preserve">the two the paper answers. The first is representational. Predicting clinical</w:t>
      </w:r>
      <w:r>
        <w:t xml:space="preserve"> </w:t>
      </w:r>
      <w:r>
        <w:t xml:space="preserve">outcomes with large, purpose-built EHR foundation models requires data and</w:t>
      </w:r>
      <w:r>
        <w:t xml:space="preserve"> </w:t>
      </w:r>
      <w:r>
        <w:t xml:space="preserve">compute at scales most groups cannot reach [13,14]. Serializing an EHR into</w:t>
      </w:r>
      <w:r>
        <w:t xml:space="preserve"> </w:t>
      </w:r>
      <w:r>
        <w:t xml:space="preserve">text and applying general-purpose language-model embeddings is a</w:t>
      </w:r>
      <w:r>
        <w:t xml:space="preserve"> </w:t>
      </w:r>
      <w:r>
        <w:t xml:space="preserve">computationally efficient alternative that has proved competitive across</w:t>
      </w:r>
      <w:r>
        <w:t xml:space="preserve"> </w:t>
      </w:r>
      <w:r>
        <w:t xml:space="preserve">clinical prediction tasks [15]. It has not been compared directly against a</w:t>
      </w:r>
      <w:r>
        <w:t xml:space="preserve"> </w:t>
      </w:r>
      <w:r>
        <w:t xml:space="preserve">transparent, hand-crafted feature vector for TRD prediction. The comparison</w:t>
      </w:r>
      <w:r>
        <w:t xml:space="preserve"> </w:t>
      </w:r>
      <w:r>
        <w:t xml:space="preserve">matters because the two are not equally auditable. A feature vector can be</w:t>
      </w:r>
      <w:r>
        <w:t xml:space="preserve"> </w:t>
      </w:r>
      <w:r>
        <w:t xml:space="preserve">read, and a 4,096-dimensional embedding cannot, so a gain in discrimination is</w:t>
      </w:r>
      <w:r>
        <w:t xml:space="preserve"> </w:t>
      </w:r>
      <w:r>
        <w:t xml:space="preserve">the only thing that would pay for the loss of interpretability.</w:t>
      </w:r>
    </w:p>
    <w:p>
      <w:pPr>
        <w:pStyle w:val="BodyText"/>
      </w:pPr>
      <w:r>
        <w:t xml:space="preserve">The second question concerns prediction by analogy. A recurring proposal in</w:t>
      </w:r>
      <w:r>
        <w:t xml:space="preserve"> </w:t>
      </w:r>
      <w:r>
        <w:t xml:space="preserve">precision psychiatry is that a patient’s likely course can be read off the</w:t>
      </w:r>
      <w:r>
        <w:t xml:space="preserve"> </w:t>
      </w:r>
      <w:r>
        <w:t xml:space="preserve">recorded courses of the patients most similar to them, an idea usually</w:t>
      </w:r>
      <w:r>
        <w:t xml:space="preserve"> </w:t>
      </w:r>
      <w:r>
        <w:t xml:space="preserve">described as a clinical digital twin. An embedding makes that proposal directly</w:t>
      </w:r>
      <w:r>
        <w:t xml:space="preserve"> </w:t>
      </w:r>
      <w:r>
        <w:t xml:space="preserve">testable, because similarity in the embedding space is a defined quantity and</w:t>
      </w:r>
      <w:r>
        <w:t xml:space="preserve"> </w:t>
      </w:r>
      <w:r>
        <w:t xml:space="preserve">the neighbors it selects have observed outcomes. If the premise holds,</w:t>
      </w:r>
      <w:r>
        <w:t xml:space="preserve"> </w:t>
      </w:r>
      <w:r>
        <w:t xml:space="preserve">retrieving a patient’s closest analogues and averaging their outcomes should</w:t>
      </w:r>
      <w:r>
        <w:t xml:space="preserve"> </w:t>
      </w:r>
      <w:r>
        <w:t xml:space="preserve">predict well. Whether it does, and how it compares with fitting a model to the</w:t>
      </w:r>
      <w:r>
        <w:t xml:space="preserve"> </w:t>
      </w:r>
      <w:r>
        <w:t xml:space="preserve">same representation, has not been established for TRD.</w:t>
      </w:r>
    </w:p>
    <w:p>
      <w:pPr>
        <w:pStyle w:val="BodyText"/>
      </w:pPr>
      <w:r>
        <w:t xml:space="preserve">One thing is true of both questions and bounds both answers, so we state it</w:t>
      </w:r>
      <w:r>
        <w:t xml:space="preserve"> </w:t>
      </w:r>
      <w:r>
        <w:t xml:space="preserve">here rather than leaving it to be inferred.</w:t>
      </w:r>
      <w:r>
        <w:t xml:space="preserve"> </w:t>
      </w:r>
      <w:r>
        <w:rPr>
          <w:bCs/>
          <w:b/>
        </w:rPr>
        <w:t xml:space="preserve">The patient data were hand-picked in both arms.</w:t>
      </w:r>
      <w:r>
        <w:t xml:space="preserve"> </w:t>
      </w:r>
      <w:r>
        <w:t xml:space="preserve">Serializing a record</w:t>
      </w:r>
      <w:r>
        <w:t xml:space="preserve"> </w:t>
      </w:r>
      <w:r>
        <w:t xml:space="preserve">and embedding it is often read as a way to stop choosing features, and</w:t>
      </w:r>
      <w:r>
        <w:t xml:space="preserve"> </w:t>
      </w:r>
      <w:r>
        <w:t xml:space="preserve">that is not what happens here. Neither answer below is evidence about</w:t>
      </w:r>
      <w:r>
        <w:t xml:space="preserve"> </w:t>
      </w:r>
      <w:r>
        <w:t xml:space="preserve">what a model would do with a raw record, because neither arm was given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Embedding a whole untailored record would be the interesting version of</w:t>
      </w:r>
      <w:r>
        <w:t xml:space="preserve"> </w:t>
      </w:r>
      <w:r>
        <w:t xml:space="preserve">that, and this study does not attempt it. The obstacle is input length</w:t>
      </w:r>
      <w:r>
        <w:t xml:space="preserve"> </w:t>
      </w:r>
      <w:r>
        <w:t xml:space="preserve">rather than principle.</w:t>
      </w:r>
    </w:p>
    <w:p>
      <w:pPr>
        <w:pStyle w:val="BodyText"/>
      </w:pPr>
      <w:r>
        <w:t xml:space="preserve">This study evaluated whether EHR-derived patient data can predict this</w:t>
      </w:r>
      <w:r>
        <w:t xml:space="preserve"> </w:t>
      </w:r>
      <w:r>
        <w:t xml:space="preserve">prescription-sequence definition of TRD within one year, and addressed</w:t>
      </w:r>
      <w:r>
        <w:t xml:space="preserve"> </w:t>
      </w:r>
      <w:r>
        <w:t xml:space="preserve">the two objectives in order. To ensure methodological transparency and</w:t>
      </w:r>
      <w:r>
        <w:t xml:space="preserve"> </w:t>
      </w:r>
      <w:r>
        <w:t xml:space="preserve">facilitate rigorous appraisal, we report it in full accordance with the</w:t>
      </w:r>
      <w:r>
        <w:t xml:space="preserve"> </w:t>
      </w:r>
      <w:r>
        <w:t xml:space="preserve">TRIPOD+AI reporting guideline for clinical prediction models developed</w:t>
      </w:r>
      <w:r>
        <w:t xml:space="preserve"> </w:t>
      </w:r>
      <w:r>
        <w:t xml:space="preserve">with regression or machine-learning methods [3]. First, we compared a</w:t>
      </w:r>
      <w:r>
        <w:t xml:space="preserve"> </w:t>
      </w:r>
      <w:r>
        <w:t xml:space="preserve">transparent typed feature vector against generalized pretrained</w:t>
      </w:r>
      <w:r>
        <w:t xml:space="preserve"> </w:t>
      </w:r>
      <w:r>
        <w:t xml:space="preserve">transformer embeddings of patient narratives, evaluating both with four</w:t>
      </w:r>
      <w:r>
        <w:t xml:space="preserve"> </w:t>
      </w:r>
      <w:r>
        <w:t xml:space="preserve">standard classifiers on an identical cohort and held-out split. We</w:t>
      </w:r>
      <w:r>
        <w:t xml:space="preserve"> </w:t>
      </w:r>
      <w:r>
        <w:t xml:space="preserve">repeated that comparison across four encoders and located the embedded</w:t>
      </w:r>
      <w:r>
        <w:t xml:space="preserve"> </w:t>
      </w:r>
      <w:r>
        <w:t xml:space="preserve">signal with a semantic-feature ablation that permutes individual</w:t>
      </w:r>
      <w:r>
        <w:t xml:space="preserve"> </w:t>
      </w:r>
      <w:r>
        <w:t xml:space="preserve">clinical concepts. Second, we tested nearest-neighbor retrieval over the</w:t>
      </w:r>
      <w:r>
        <w:t xml:space="preserve"> </w:t>
      </w:r>
      <w:r>
        <w:t xml:space="preserve">same embedding against a random-retrieval control, and against the</w:t>
      </w:r>
      <w:r>
        <w:t xml:space="preserve"> </w:t>
      </w:r>
      <w:r>
        <w:t xml:space="preserve">trained classifiers themselves. Field by field, what each representation</w:t>
      </w:r>
      <w:r>
        <w:t xml:space="preserve"> </w:t>
      </w:r>
      <w:r>
        <w:t xml:space="preserve">receives is documented in Supplement S8.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2026-09-08T19:38:29Z</dcterms:created>
  <dcterms:modified xsi:type="dcterms:W3CDTF">2026-09-08T19:38:29Z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