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46.png" ContentType="image/png"/>
  <Override PartName="/word/media/rId44.png" ContentType="image/png"/>
  <Override PartName="/word/media/rId47.png" ContentType="image/png"/>
  <Override PartName="/word/media/rId37.png" ContentType="image/png"/>
  <Override PartName="/word/media/rId28.png" ContentType="image/png"/>
  <Override PartName="/word/media/rId29.png" ContentType="image/png"/>
  <Override PartName="/word/media/rId25.png" ContentType="image/png"/>
  <Override PartName="/word/media/rId26.png" ContentType="image/png"/>
  <Override PartName="/word/media/rId22.png" ContentType="image/png"/>
  <Override PartName="/word/media/rId35.png" ContentType="image/png"/>
  <Override PartName="/word/media/rId33.png" ContentType="image/png"/>
  <Override PartName="/word/media/rId31.png" ContentType="image/png"/>
  <Override PartName="/word/media/rId32.png" ContentType="image/png"/>
  <Override PartName="/word/media/rId34.png" ContentType="image/png"/>
  <Override PartName="/word/media/rId41.png" ContentType="image/png"/>
  <Override PartName="/word/media/rId42.png" ContentType="image/png"/>
  <Override PartName="/word/media/rId23.png" ContentType="image/png"/>
  <Override PartName="/word/media/rId2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The results are reported in the order of the two objectives. Participant flow</w:t>
      </w:r>
      <w:r>
        <w:t xml:space="preserve"> </w:t>
      </w:r>
      <w:r>
        <w:t xml:space="preserve">and cohort composition come first, then the comparison between the two</w:t>
      </w:r>
      <w:r>
        <w:t xml:space="preserve"> </w:t>
      </w:r>
      <w:r>
        <w:t xml:space="preserve">representations, then the retrieval predictor, and last the checks that bear on</w:t>
      </w:r>
      <w:r>
        <w:t xml:space="preserve"> </w:t>
      </w:r>
      <w:r>
        <w:t xml:space="preserve">both.</w:t>
      </w:r>
    </w:p>
    <w:bookmarkStart w:id="20" w:name="participant-flow"/>
    <w:p>
      <w:pPr>
        <w:pStyle w:val="Heading2"/>
      </w:pPr>
      <w:r>
        <w:t xml:space="preserve">Participant flow</w:t>
      </w:r>
    </w:p>
    <w:p>
      <w:pPr>
        <w:pStyle w:val="FirstParagraph"/>
      </w:pPr>
      <w:r>
        <w:t xml:space="preserve">Of the 501,718 patients in the delivered extract, 42,579 satisfied every</w:t>
      </w:r>
      <w:r>
        <w:t xml:space="preserve"> </w:t>
      </w:r>
      <w:r>
        <w:t xml:space="preserve">inclusion and exclusion criterion. Supplement M2 (Table M1) counts the</w:t>
      </w:r>
      <w:r>
        <w:t xml:space="preserve"> </w:t>
      </w:r>
      <w:r>
        <w:t xml:space="preserve">rejections at each stage of the hierarchical cascade. Those 42,579 are</w:t>
      </w:r>
      <w:r>
        <w:t xml:space="preserve"> </w:t>
      </w:r>
      <w:r>
        <w:t xml:space="preserve">the analysis cohort throughout, and 7,455 of them (17.5%) were</w:t>
      </w:r>
      <w:r>
        <w:t xml:space="preserve"> </w:t>
      </w:r>
      <w:r>
        <w:t xml:space="preserve">TRD-positive.</w:t>
      </w:r>
    </w:p>
    <w:bookmarkEnd w:id="20"/>
    <w:bookmarkStart w:id="21" w:name="cohort-characteristics"/>
    <w:p>
      <w:pPr>
        <w:pStyle w:val="Heading2"/>
      </w:pPr>
      <w:r>
        <w:t xml:space="preserve">Cohort characteristics</w:t>
      </w:r>
    </w:p>
    <w:p>
      <w:pPr>
        <w:pStyle w:val="FirstParagraph"/>
      </w:pPr>
      <w:r>
        <w:t xml:space="preserve">The cohort was middle-aged (median age 55 years, IQR 38–70),</w:t>
      </w:r>
      <w:r>
        <w:t xml:space="preserve"> </w:t>
      </w:r>
      <w:r>
        <w:t xml:space="preserve">predominantly female (72.5%), White/Caucasian (80.0%) and</w:t>
      </w:r>
      <w:r>
        <w:t xml:space="preserve"> </w:t>
      </w:r>
      <w:r>
        <w:t xml:space="preserve">English-preferring (98.9%). Table 1 gives every selected characteristic, overall and by TRD status,</w:t>
      </w:r>
      <w:r>
        <w:t xml:space="preserve"> </w:t>
      </w:r>
      <w:r>
        <w:t xml:space="preserve">and Supplement S9 gives within-subgroup TRD prevalence. The</w:t>
      </w:r>
      <w:r>
        <w:t xml:space="preserve"> </w:t>
      </w:r>
      <w:r>
        <w:t xml:space="preserve">characteristics most associated with TRD were a flagged suicidality</w:t>
      </w:r>
      <w:r>
        <w:t xml:space="preserve"> </w:t>
      </w:r>
      <w:r>
        <w:t xml:space="preserve">history, severe MDD coding, and a broad band of psychiatric and</w:t>
      </w:r>
      <w:r>
        <w:t xml:space="preserve"> </w:t>
      </w:r>
      <w:r>
        <w:t xml:space="preserve">substance-use comorbidity, which is the same profile the models later</w:t>
      </w:r>
      <w:r>
        <w:t xml:space="preserve"> </w:t>
      </w:r>
      <w:r>
        <w:t xml:space="preserve">rely on.</w:t>
      </w:r>
    </w:p>
    <w:p>
      <w:pPr>
        <w:pStyle w:val="BodyText"/>
      </w:pPr>
      <w:r>
        <w:rPr>
          <w:bCs/>
          <w:b/>
          <w:iCs/>
          <w:i/>
        </w:rPr>
        <w:t xml:space="preserve">Table 1.</w:t>
      </w:r>
      <w:r>
        <w:rPr>
          <w:iCs/>
          <w:i/>
        </w:rPr>
        <w:t xml:space="preserve"> </w:t>
      </w:r>
      <w:r>
        <w:rPr>
          <w:iCs/>
          <w:i/>
        </w:rPr>
        <w:t xml:space="preserve">Selected cohort characteristics by TRD status. Continuous</w:t>
      </w:r>
      <w:r>
        <w:rPr>
          <w:iCs/>
          <w:i/>
        </w:rPr>
        <w:t xml:space="preserve"> </w:t>
      </w:r>
      <w:r>
        <w:rPr>
          <w:iCs/>
          <w:i/>
        </w:rPr>
        <w:t xml:space="preserve">variables are median (IQR); categorical/boolean entries are n (%).</w:t>
      </w:r>
      <w:r>
        <w:rPr>
          <w:iCs/>
          <w:i/>
        </w:rPr>
        <w:t xml:space="preserve"> </w:t>
      </w:r>
      <w:r>
        <w:rPr>
          <w:iCs/>
          <w:i/>
        </w:rPr>
        <w:t xml:space="preserve">SMD = standardized mean difference (TRD-positive vs TRD-negative).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080"/>
        <w:gridCol w:w="1080"/>
        <w:gridCol w:w="1440"/>
        <w:gridCol w:w="1440"/>
        <w:gridCol w:w="1440"/>
        <w:gridCol w:w="1440"/>
      </w:tblGrid>
      <w:tr>
        <w:tc>
          <w:p>
            <w:pPr>
              <w:pStyle w:val="Compact"/>
              <w:jc w:val="left"/>
            </w:pPr>
            <w:r>
              <w:t xml:space="preserve">Characteristic</w:t>
            </w:r>
          </w:p>
        </w:tc>
        <w:tc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p>
            <w:pPr>
              <w:pStyle w:val="Compact"/>
              <w:jc w:val="right"/>
            </w:pPr>
            <w:r>
              <w:t xml:space="preserve">Overall</w:t>
            </w:r>
          </w:p>
        </w:tc>
        <w:tc>
          <w:p>
            <w:pPr>
              <w:pStyle w:val="Compact"/>
              <w:jc w:val="right"/>
            </w:pPr>
            <w:r>
              <w:t xml:space="preserve">TRD+</w:t>
            </w:r>
          </w:p>
        </w:tc>
        <w:tc>
          <w:p>
            <w:pPr>
              <w:pStyle w:val="Compact"/>
              <w:jc w:val="right"/>
            </w:pPr>
            <w:r>
              <w:t xml:space="preserve">TRD−</w:t>
            </w:r>
          </w:p>
        </w:tc>
        <w:tc>
          <w:p>
            <w:pPr>
              <w:pStyle w:val="Compact"/>
              <w:jc w:val="right"/>
            </w:pPr>
            <w:r>
              <w:t xml:space="preserve">SMD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Demographics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p>
            <w:pPr>
              <w:pStyle w:val="Compact"/>
              <w:jc w:val="left"/>
            </w:pPr>
            <w:r>
              <w:t xml:space="preserve">median (IQR)</w:t>
            </w:r>
          </w:p>
        </w:tc>
        <w:tc>
          <w:p>
            <w:pPr>
              <w:pStyle w:val="Compact"/>
              <w:jc w:val="right"/>
            </w:pPr>
            <w:r>
              <w:t xml:space="preserve">55 (38–70)</w:t>
            </w:r>
          </w:p>
        </w:tc>
        <w:tc>
          <w:p>
            <w:pPr>
              <w:pStyle w:val="Compact"/>
              <w:jc w:val="right"/>
            </w:pPr>
            <w:r>
              <w:t xml:space="preserve">51 (36–66)</w:t>
            </w:r>
          </w:p>
        </w:tc>
        <w:tc>
          <w:p>
            <w:pPr>
              <w:pStyle w:val="Compact"/>
              <w:jc w:val="right"/>
            </w:pPr>
            <w:r>
              <w:t xml:space="preserve">56 (39–71)</w:t>
            </w:r>
          </w:p>
        </w:tc>
        <w:tc>
          <w:p>
            <w:pPr>
              <w:pStyle w:val="Compact"/>
              <w:jc w:val="right"/>
            </w:pPr>
            <w:r>
              <w:t xml:space="preserve">−0.193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</w:t>
            </w:r>
          </w:p>
        </w:tc>
        <w:tc>
          <w:p>
            <w:pPr>
              <w:pStyle w:val="Compact"/>
              <w:jc w:val="left"/>
            </w:pPr>
            <w:r>
              <w:t xml:space="preserve">18–29</w:t>
            </w:r>
          </w:p>
        </w:tc>
        <w:tc>
          <w:p>
            <w:pPr>
              <w:pStyle w:val="Compact"/>
              <w:jc w:val="right"/>
            </w:pPr>
            <w:r>
              <w:t xml:space="preserve">5,513 (12.9%)</w:t>
            </w:r>
          </w:p>
        </w:tc>
        <w:tc>
          <w:p>
            <w:pPr>
              <w:pStyle w:val="Compact"/>
              <w:jc w:val="right"/>
            </w:pPr>
            <w:r>
              <w:t xml:space="preserve">1,135 (15.2%)</w:t>
            </w:r>
          </w:p>
        </w:tc>
        <w:tc>
          <w:p>
            <w:pPr>
              <w:pStyle w:val="Compact"/>
              <w:jc w:val="right"/>
            </w:pPr>
            <w:r>
              <w:t xml:space="preserve">4,378 (12.5%)</w:t>
            </w:r>
          </w:p>
        </w:tc>
        <w:tc>
          <w:p>
            <w:pPr>
              <w:pStyle w:val="Compact"/>
              <w:jc w:val="right"/>
            </w:pPr>
            <w:r>
              <w:t xml:space="preserve">0.080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30–44</w:t>
            </w:r>
          </w:p>
        </w:tc>
        <w:tc>
          <w:p>
            <w:pPr>
              <w:pStyle w:val="Compact"/>
              <w:jc w:val="right"/>
            </w:pPr>
            <w:r>
              <w:t xml:space="preserve">9,025 (21.2%)</w:t>
            </w:r>
          </w:p>
        </w:tc>
        <w:tc>
          <w:p>
            <w:pPr>
              <w:pStyle w:val="Compact"/>
              <w:jc w:val="right"/>
            </w:pPr>
            <w:r>
              <w:t xml:space="preserve">1,836 (24.6%)</w:t>
            </w:r>
          </w:p>
        </w:tc>
        <w:tc>
          <w:p>
            <w:pPr>
              <w:pStyle w:val="Compact"/>
              <w:jc w:val="right"/>
            </w:pPr>
            <w:r>
              <w:t xml:space="preserve">7,189 (20.5%)</w:t>
            </w:r>
          </w:p>
        </w:tc>
        <w:tc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45–64</w:t>
            </w:r>
          </w:p>
        </w:tc>
        <w:tc>
          <w:p>
            <w:pPr>
              <w:pStyle w:val="Compact"/>
              <w:jc w:val="right"/>
            </w:pPr>
            <w:r>
              <w:t xml:space="preserve">13,268 (31.2%)</w:t>
            </w:r>
          </w:p>
        </w:tc>
        <w:tc>
          <w:p>
            <w:pPr>
              <w:pStyle w:val="Compact"/>
              <w:jc w:val="right"/>
            </w:pPr>
            <w:r>
              <w:t xml:space="preserve">2,445 (32.8%)</w:t>
            </w:r>
          </w:p>
        </w:tc>
        <w:tc>
          <w:p>
            <w:pPr>
              <w:pStyle w:val="Compact"/>
              <w:jc w:val="right"/>
            </w:pPr>
            <w:r>
              <w:t xml:space="preserve">10,823 (30.8%)</w:t>
            </w:r>
          </w:p>
        </w:tc>
        <w:tc>
          <w:p>
            <w:pPr>
              <w:pStyle w:val="Compact"/>
              <w:jc w:val="right"/>
            </w:pPr>
            <w:r>
              <w:t xml:space="preserve">0.043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65+</w:t>
            </w:r>
          </w:p>
        </w:tc>
        <w:tc>
          <w:p>
            <w:pPr>
              <w:pStyle w:val="Compact"/>
              <w:jc w:val="right"/>
            </w:pPr>
            <w:r>
              <w:t xml:space="preserve">14,773 (34.7%)</w:t>
            </w:r>
          </w:p>
        </w:tc>
        <w:tc>
          <w:p>
            <w:pPr>
              <w:pStyle w:val="Compact"/>
              <w:jc w:val="right"/>
            </w:pPr>
            <w:r>
              <w:t xml:space="preserve">2,039 (27.4%)</w:t>
            </w:r>
          </w:p>
        </w:tc>
        <w:tc>
          <w:p>
            <w:pPr>
              <w:pStyle w:val="Compact"/>
              <w:jc w:val="right"/>
            </w:pPr>
            <w:r>
              <w:t xml:space="preserve">12,734 (36.3%)</w:t>
            </w:r>
          </w:p>
        </w:tc>
        <w:tc>
          <w:p>
            <w:pPr>
              <w:pStyle w:val="Compact"/>
              <w:jc w:val="right"/>
            </w:pPr>
            <w:r>
              <w:t xml:space="preserve">−0.192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p>
            <w:pPr>
              <w:pStyle w:val="Compact"/>
              <w:jc w:val="right"/>
            </w:pPr>
            <w:r>
              <w:t xml:space="preserve">30,850 (72.5%)</w:t>
            </w:r>
          </w:p>
        </w:tc>
        <w:tc>
          <w:p>
            <w:pPr>
              <w:pStyle w:val="Compact"/>
              <w:jc w:val="right"/>
            </w:pPr>
            <w:r>
              <w:t xml:space="preserve">5,552 (74.5%)</w:t>
            </w:r>
          </w:p>
        </w:tc>
        <w:tc>
          <w:p>
            <w:pPr>
              <w:pStyle w:val="Compact"/>
              <w:jc w:val="right"/>
            </w:pPr>
            <w:r>
              <w:t xml:space="preserve">25,298 (72.0%)</w:t>
            </w:r>
          </w:p>
        </w:tc>
        <w:tc>
          <w:p>
            <w:pPr>
              <w:pStyle w:val="Compact"/>
              <w:jc w:val="right"/>
            </w:pPr>
            <w:r>
              <w:t xml:space="preserve">0.055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Race/ethnicity</w:t>
            </w:r>
          </w:p>
        </w:tc>
        <w:tc>
          <w:p>
            <w:pPr>
              <w:pStyle w:val="Compact"/>
              <w:jc w:val="left"/>
            </w:pPr>
            <w:r>
              <w:t xml:space="preserve">White/Caucasian</w:t>
            </w:r>
          </w:p>
        </w:tc>
        <w:tc>
          <w:p>
            <w:pPr>
              <w:pStyle w:val="Compact"/>
              <w:jc w:val="right"/>
            </w:pPr>
            <w:r>
              <w:t xml:space="preserve">34,079 (80.0%)</w:t>
            </w:r>
          </w:p>
        </w:tc>
        <w:tc>
          <w:p>
            <w:pPr>
              <w:pStyle w:val="Compact"/>
              <w:jc w:val="right"/>
            </w:pPr>
            <w:r>
              <w:t xml:space="preserve">5,942 (79.7%)</w:t>
            </w:r>
          </w:p>
        </w:tc>
        <w:tc>
          <w:p>
            <w:pPr>
              <w:pStyle w:val="Compact"/>
              <w:jc w:val="right"/>
            </w:pPr>
            <w:r>
              <w:t xml:space="preserve">28,137 (80.1%)</w:t>
            </w:r>
          </w:p>
        </w:tc>
        <w:tc>
          <w:p>
            <w:pPr>
              <w:pStyle w:val="Compact"/>
              <w:jc w:val="right"/>
            </w:pPr>
            <w:r>
              <w:t xml:space="preserve">−0.010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Black/African American</w:t>
            </w:r>
          </w:p>
        </w:tc>
        <w:tc>
          <w:p>
            <w:pPr>
              <w:pStyle w:val="Compact"/>
              <w:jc w:val="right"/>
            </w:pPr>
            <w:r>
              <w:t xml:space="preserve">2,368 (5.6%)</w:t>
            </w:r>
          </w:p>
        </w:tc>
        <w:tc>
          <w:p>
            <w:pPr>
              <w:pStyle w:val="Compact"/>
              <w:jc w:val="right"/>
            </w:pPr>
            <w:r>
              <w:t xml:space="preserve">401 (5.4%)</w:t>
            </w:r>
          </w:p>
        </w:tc>
        <w:tc>
          <w:p>
            <w:pPr>
              <w:pStyle w:val="Compact"/>
              <w:jc w:val="right"/>
            </w:pPr>
            <w:r>
              <w:t xml:space="preserve">1,967 (5.6%)</w:t>
            </w:r>
          </w:p>
        </w:tc>
        <w:tc>
          <w:p>
            <w:pPr>
              <w:pStyle w:val="Compact"/>
              <w:jc w:val="right"/>
            </w:pPr>
            <w:r>
              <w:t xml:space="preserve">−0.010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Am. Indian/Alaska Native</w:t>
            </w:r>
          </w:p>
        </w:tc>
        <w:tc>
          <w:p>
            <w:pPr>
              <w:pStyle w:val="Compact"/>
              <w:jc w:val="right"/>
            </w:pPr>
            <w:r>
              <w:t xml:space="preserve">2,033 (4.8%)</w:t>
            </w:r>
          </w:p>
        </w:tc>
        <w:tc>
          <w:p>
            <w:pPr>
              <w:pStyle w:val="Compact"/>
              <w:jc w:val="right"/>
            </w:pPr>
            <w:r>
              <w:t xml:space="preserve">394 (5.3%)</w:t>
            </w:r>
          </w:p>
        </w:tc>
        <w:tc>
          <w:p>
            <w:pPr>
              <w:pStyle w:val="Compact"/>
              <w:jc w:val="right"/>
            </w:pPr>
            <w:r>
              <w:t xml:space="preserve">1,639 (4.7%)</w:t>
            </w:r>
          </w:p>
        </w:tc>
        <w:tc>
          <w:p>
            <w:pPr>
              <w:pStyle w:val="Compact"/>
              <w:jc w:val="right"/>
            </w:pPr>
            <w:r>
              <w:t xml:space="preserve">0.028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Missing</w:t>
            </w:r>
          </w:p>
        </w:tc>
        <w:tc>
          <w:p>
            <w:pPr>
              <w:pStyle w:val="Compact"/>
              <w:jc w:val="right"/>
            </w:pPr>
            <w:r>
              <w:t xml:space="preserve">297 (0.7%)</w:t>
            </w:r>
          </w:p>
        </w:tc>
        <w:tc>
          <w:p>
            <w:pPr>
              <w:pStyle w:val="Compact"/>
              <w:jc w:val="right"/>
            </w:pPr>
            <w:r>
              <w:t xml:space="preserve">46 (0.6%)</w:t>
            </w:r>
          </w:p>
        </w:tc>
        <w:tc>
          <w:p>
            <w:pPr>
              <w:pStyle w:val="Compact"/>
              <w:jc w:val="right"/>
            </w:pPr>
            <w:r>
              <w:t xml:space="preserve">251 (0.7%)</w:t>
            </w:r>
          </w:p>
        </w:tc>
        <w:tc>
          <w:p>
            <w:pPr>
              <w:pStyle w:val="Compact"/>
              <w:jc w:val="right"/>
            </w:pPr>
            <w:r>
              <w:t xml:space="preserve">−0.012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Depression phenotype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MDD recurrence</w:t>
            </w:r>
          </w:p>
        </w:tc>
        <w:tc>
          <w:p>
            <w:pPr>
              <w:pStyle w:val="Compact"/>
              <w:jc w:val="left"/>
            </w:pPr>
            <w:r>
              <w:t xml:space="preserve">Recurrent</w:t>
            </w:r>
          </w:p>
        </w:tc>
        <w:tc>
          <w:p>
            <w:pPr>
              <w:pStyle w:val="Compact"/>
              <w:jc w:val="right"/>
            </w:pPr>
            <w:r>
              <w:t xml:space="preserve">11,213 (26.3%)</w:t>
            </w:r>
          </w:p>
        </w:tc>
        <w:tc>
          <w:p>
            <w:pPr>
              <w:pStyle w:val="Compact"/>
              <w:jc w:val="right"/>
            </w:pPr>
            <w:r>
              <w:t xml:space="preserve">2,189 (29.4%)</w:t>
            </w:r>
          </w:p>
        </w:tc>
        <w:tc>
          <w:p>
            <w:pPr>
              <w:pStyle w:val="Compact"/>
              <w:jc w:val="right"/>
            </w:pPr>
            <w:r>
              <w:t xml:space="preserve">9,024 (25.7%)</w:t>
            </w:r>
          </w:p>
        </w:tc>
        <w:tc>
          <w:p>
            <w:pPr>
              <w:pStyle w:val="Compact"/>
              <w:jc w:val="right"/>
            </w:pPr>
            <w:r>
              <w:t xml:space="preserve">0.082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Single episode</w:t>
            </w:r>
          </w:p>
        </w:tc>
        <w:tc>
          <w:p>
            <w:pPr>
              <w:pStyle w:val="Compact"/>
              <w:jc w:val="right"/>
            </w:pPr>
            <w:r>
              <w:t xml:space="preserve">28,206 (66.2%)</w:t>
            </w:r>
          </w:p>
        </w:tc>
        <w:tc>
          <w:p>
            <w:pPr>
              <w:pStyle w:val="Compact"/>
              <w:jc w:val="right"/>
            </w:pPr>
            <w:r>
              <w:t xml:space="preserve">4,721 (63.3%)</w:t>
            </w:r>
          </w:p>
        </w:tc>
        <w:tc>
          <w:p>
            <w:pPr>
              <w:pStyle w:val="Compact"/>
              <w:jc w:val="right"/>
            </w:pPr>
            <w:r>
              <w:t xml:space="preserve">23,485 (66.9%)</w:t>
            </w:r>
          </w:p>
        </w:tc>
        <w:tc>
          <w:p>
            <w:pPr>
              <w:pStyle w:val="Compact"/>
              <w:jc w:val="right"/>
            </w:pPr>
            <w:r>
              <w:t xml:space="preserve">−0.074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</w:t>
            </w:r>
          </w:p>
        </w:tc>
        <w:tc>
          <w:p>
            <w:pPr>
              <w:pStyle w:val="Compact"/>
              <w:jc w:val="left"/>
            </w:pPr>
            <w:r>
              <w:t xml:space="preserve">Severe</w:t>
            </w:r>
          </w:p>
        </w:tc>
        <w:tc>
          <w:p>
            <w:pPr>
              <w:pStyle w:val="Compact"/>
              <w:jc w:val="right"/>
            </w:pPr>
            <w:r>
              <w:t xml:space="preserve">2,286 (5.4%)</w:t>
            </w:r>
          </w:p>
        </w:tc>
        <w:tc>
          <w:p>
            <w:pPr>
              <w:pStyle w:val="Compact"/>
              <w:jc w:val="right"/>
            </w:pPr>
            <w:r>
              <w:t xml:space="preserve">720 (9.7%)</w:t>
            </w:r>
          </w:p>
        </w:tc>
        <w:tc>
          <w:p>
            <w:pPr>
              <w:pStyle w:val="Compact"/>
              <w:jc w:val="right"/>
            </w:pPr>
            <w:r>
              <w:t xml:space="preserve">1,566 (4.5%)</w:t>
            </w:r>
          </w:p>
        </w:tc>
        <w:tc>
          <w:p>
            <w:pPr>
              <w:pStyle w:val="Compact"/>
              <w:jc w:val="right"/>
            </w:pPr>
            <w:r>
              <w:t xml:space="preserve">0.204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p>
            <w:pPr>
              <w:pStyle w:val="Compact"/>
              <w:jc w:val="right"/>
            </w:pPr>
            <w:r>
              <w:t xml:space="preserve">7,233 (17.0%)</w:t>
            </w:r>
          </w:p>
        </w:tc>
        <w:tc>
          <w:p>
            <w:pPr>
              <w:pStyle w:val="Compact"/>
              <w:jc w:val="right"/>
            </w:pPr>
            <w:r>
              <w:t xml:space="preserve">1,300 (17.4%)</w:t>
            </w:r>
          </w:p>
        </w:tc>
        <w:tc>
          <w:p>
            <w:pPr>
              <w:pStyle w:val="Compact"/>
              <w:jc w:val="right"/>
            </w:pPr>
            <w:r>
              <w:t xml:space="preserve">5,933 (16.9%)</w:t>
            </w:r>
          </w:p>
        </w:tc>
        <w:tc>
          <w:p>
            <w:pPr>
              <w:pStyle w:val="Compact"/>
              <w:jc w:val="right"/>
            </w:pPr>
            <w:r>
              <w:t xml:space="preserve">0.014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Psychotic</w:t>
            </w:r>
          </w:p>
        </w:tc>
        <w:tc>
          <w:p>
            <w:pPr>
              <w:pStyle w:val="Compact"/>
              <w:jc w:val="right"/>
            </w:pPr>
            <w:r>
              <w:t xml:space="preserve">112 (0.3%)</w:t>
            </w:r>
          </w:p>
        </w:tc>
        <w:tc>
          <w:p>
            <w:pPr>
              <w:pStyle w:val="Compact"/>
              <w:jc w:val="right"/>
            </w:pPr>
            <w:r>
              <w:t xml:space="preserve">35 (0.5%)</w:t>
            </w:r>
          </w:p>
        </w:tc>
        <w:tc>
          <w:p>
            <w:pPr>
              <w:pStyle w:val="Compact"/>
              <w:jc w:val="right"/>
            </w:pPr>
            <w:r>
              <w:t xml:space="preserve">77 (0.2%)</w:t>
            </w:r>
          </w:p>
        </w:tc>
        <w:tc>
          <w:p>
            <w:pPr>
              <w:pStyle w:val="Compact"/>
              <w:jc w:val="right"/>
            </w:pPr>
            <w:r>
              <w:t xml:space="preserve">0.043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Unspecified</w:t>
            </w:r>
          </w:p>
        </w:tc>
        <w:tc>
          <w:p>
            <w:pPr>
              <w:pStyle w:val="Compact"/>
              <w:jc w:val="right"/>
            </w:pPr>
            <w:r>
              <w:t xml:space="preserve">28,951 (68.0%)</w:t>
            </w:r>
          </w:p>
        </w:tc>
        <w:tc>
          <w:p>
            <w:pPr>
              <w:pStyle w:val="Compact"/>
              <w:jc w:val="right"/>
            </w:pPr>
            <w:r>
              <w:t xml:space="preserve">4,803 (64.4%)</w:t>
            </w:r>
          </w:p>
        </w:tc>
        <w:tc>
          <w:p>
            <w:pPr>
              <w:pStyle w:val="Compact"/>
              <w:jc w:val="right"/>
            </w:pPr>
            <w:r>
              <w:t xml:space="preserve">24,148 (68.8%)</w:t>
            </w:r>
          </w:p>
        </w:tc>
        <w:tc>
          <w:p>
            <w:pPr>
              <w:pStyle w:val="Compact"/>
              <w:jc w:val="right"/>
            </w:pPr>
            <w:r>
              <w:t xml:space="preserve">−0.092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Psychiatric and substance comorbidity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Suicidality flagged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1,753 (4.1%)</w:t>
            </w:r>
          </w:p>
        </w:tc>
        <w:tc>
          <w:p>
            <w:pPr>
              <w:pStyle w:val="Compact"/>
              <w:jc w:val="right"/>
            </w:pPr>
            <w:r>
              <w:t xml:space="preserve">641 (8.6%)</w:t>
            </w:r>
          </w:p>
        </w:tc>
        <w:tc>
          <w:p>
            <w:pPr>
              <w:pStyle w:val="Compact"/>
              <w:jc w:val="right"/>
            </w:pPr>
            <w:r>
              <w:t xml:space="preserve">1,112 (3.2%)</w:t>
            </w:r>
          </w:p>
        </w:tc>
        <w:tc>
          <w:p>
            <w:pPr>
              <w:pStyle w:val="Compact"/>
              <w:jc w:val="right"/>
            </w:pPr>
            <w:r>
              <w:t xml:space="preserve">0.232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Anxiety disorder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22,401 (52.6%)</w:t>
            </w:r>
          </w:p>
        </w:tc>
        <w:tc>
          <w:p>
            <w:pPr>
              <w:pStyle w:val="Compact"/>
              <w:jc w:val="right"/>
            </w:pPr>
            <w:r>
              <w:t xml:space="preserve">4,499 (60.3%)</w:t>
            </w:r>
          </w:p>
        </w:tc>
        <w:tc>
          <w:p>
            <w:pPr>
              <w:pStyle w:val="Compact"/>
              <w:jc w:val="right"/>
            </w:pPr>
            <w:r>
              <w:t xml:space="preserve">17,902 (51.0%)</w:t>
            </w:r>
          </w:p>
        </w:tc>
        <w:tc>
          <w:p>
            <w:pPr>
              <w:pStyle w:val="Compact"/>
              <w:jc w:val="right"/>
            </w:pPr>
            <w:r>
              <w:t xml:space="preserve">0.190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Substance use disorder (any)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9,265 (21.8%)</w:t>
            </w:r>
          </w:p>
        </w:tc>
        <w:tc>
          <w:p>
            <w:pPr>
              <w:pStyle w:val="Compact"/>
              <w:jc w:val="right"/>
            </w:pPr>
            <w:r>
              <w:t xml:space="preserve">2,006 (26.9%)</w:t>
            </w:r>
          </w:p>
        </w:tc>
        <w:tc>
          <w:p>
            <w:pPr>
              <w:pStyle w:val="Compact"/>
              <w:jc w:val="right"/>
            </w:pPr>
            <w:r>
              <w:t xml:space="preserve">7,259 (20.7%)</w:t>
            </w:r>
          </w:p>
        </w:tc>
        <w:tc>
          <w:p>
            <w:pPr>
              <w:pStyle w:val="Compact"/>
              <w:jc w:val="right"/>
            </w:pPr>
            <w:r>
              <w:t xml:space="preserve">0.147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Insomnia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9,350 (22.0%)</w:t>
            </w:r>
          </w:p>
        </w:tc>
        <w:tc>
          <w:p>
            <w:pPr>
              <w:pStyle w:val="Compact"/>
              <w:jc w:val="right"/>
            </w:pPr>
            <w:r>
              <w:t xml:space="preserve">2,021 (27.1%)</w:t>
            </w:r>
          </w:p>
        </w:tc>
        <w:tc>
          <w:p>
            <w:pPr>
              <w:pStyle w:val="Compact"/>
              <w:jc w:val="right"/>
            </w:pPr>
            <w:r>
              <w:t xml:space="preserve">7,329 (20.9%)</w:t>
            </w:r>
          </w:p>
        </w:tc>
        <w:tc>
          <w:p>
            <w:pPr>
              <w:pStyle w:val="Compact"/>
              <w:jc w:val="right"/>
            </w:pPr>
            <w:r>
              <w:t xml:space="preserve">0.147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PTSD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1,541 (3.6%)</w:t>
            </w:r>
          </w:p>
        </w:tc>
        <w:tc>
          <w:p>
            <w:pPr>
              <w:pStyle w:val="Compact"/>
              <w:jc w:val="right"/>
            </w:pPr>
            <w:r>
              <w:t xml:space="preserve">450 (6.0%)</w:t>
            </w:r>
          </w:p>
        </w:tc>
        <w:tc>
          <w:p>
            <w:pPr>
              <w:pStyle w:val="Compact"/>
              <w:jc w:val="right"/>
            </w:pPr>
            <w:r>
              <w:t xml:space="preserve">1,091 (3.1%)</w:t>
            </w:r>
          </w:p>
        </w:tc>
        <w:tc>
          <w:p>
            <w:pPr>
              <w:pStyle w:val="Compact"/>
              <w:jc w:val="right"/>
            </w:pPr>
            <w:r>
              <w:t xml:space="preserve">0.141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Alcohol use disorder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1,875 (4.4%)</w:t>
            </w:r>
          </w:p>
        </w:tc>
        <w:tc>
          <w:p>
            <w:pPr>
              <w:pStyle w:val="Compact"/>
              <w:jc w:val="right"/>
            </w:pPr>
            <w:r>
              <w:t xml:space="preserve">501 (6.7%)</w:t>
            </w:r>
          </w:p>
        </w:tc>
        <w:tc>
          <w:p>
            <w:pPr>
              <w:pStyle w:val="Compact"/>
              <w:jc w:val="right"/>
            </w:pPr>
            <w:r>
              <w:t xml:space="preserve">1,374 (3.9%)</w:t>
            </w:r>
          </w:p>
        </w:tc>
        <w:tc>
          <w:p>
            <w:pPr>
              <w:pStyle w:val="Compact"/>
              <w:jc w:val="right"/>
            </w:pPr>
            <w:r>
              <w:t xml:space="preserve">0.125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Opioid use disorder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1,281 (3.0%)</w:t>
            </w:r>
          </w:p>
        </w:tc>
        <w:tc>
          <w:p>
            <w:pPr>
              <w:pStyle w:val="Compact"/>
              <w:jc w:val="right"/>
            </w:pPr>
            <w:r>
              <w:t xml:space="preserve">337 (4.5%)</w:t>
            </w:r>
          </w:p>
        </w:tc>
        <w:tc>
          <w:p>
            <w:pPr>
              <w:pStyle w:val="Compact"/>
              <w:jc w:val="right"/>
            </w:pPr>
            <w:r>
              <w:t xml:space="preserve">944 (2.7%)</w:t>
            </w:r>
          </w:p>
        </w:tc>
        <w:tc>
          <w:p>
            <w:pPr>
              <w:pStyle w:val="Compact"/>
              <w:jc w:val="right"/>
            </w:pPr>
            <w:r>
              <w:t xml:space="preserve">0.098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Adjustment disorder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2,918 (6.9%)</w:t>
            </w:r>
          </w:p>
        </w:tc>
        <w:tc>
          <w:p>
            <w:pPr>
              <w:pStyle w:val="Compact"/>
              <w:jc w:val="right"/>
            </w:pPr>
            <w:r>
              <w:t xml:space="preserve">663 (8.9%)</w:t>
            </w:r>
          </w:p>
        </w:tc>
        <w:tc>
          <w:p>
            <w:pPr>
              <w:pStyle w:val="Compact"/>
              <w:jc w:val="right"/>
            </w:pPr>
            <w:r>
              <w:t xml:space="preserve">2,255 (6.4%)</w:t>
            </w:r>
          </w:p>
        </w:tc>
        <w:tc>
          <w:p>
            <w:pPr>
              <w:pStyle w:val="Compact"/>
              <w:jc w:val="right"/>
            </w:pPr>
            <w:r>
              <w:t xml:space="preserve">0.093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Medical comorbidity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High cholesterol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15,747 (37.0%)</w:t>
            </w:r>
          </w:p>
        </w:tc>
        <w:tc>
          <w:p>
            <w:pPr>
              <w:pStyle w:val="Compact"/>
              <w:jc w:val="right"/>
            </w:pPr>
            <w:r>
              <w:t xml:space="preserve">2,202 (29.5%)</w:t>
            </w:r>
          </w:p>
        </w:tc>
        <w:tc>
          <w:p>
            <w:pPr>
              <w:pStyle w:val="Compact"/>
              <w:jc w:val="right"/>
            </w:pPr>
            <w:r>
              <w:t xml:space="preserve">13,545 (38.6%)</w:t>
            </w:r>
          </w:p>
        </w:tc>
        <w:tc>
          <w:p>
            <w:pPr>
              <w:pStyle w:val="Compact"/>
              <w:jc w:val="right"/>
            </w:pPr>
            <w:r>
              <w:t xml:space="preserve">−0.191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Uncontrolled hypertension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15,680 (36.8%)</w:t>
            </w:r>
          </w:p>
        </w:tc>
        <w:tc>
          <w:p>
            <w:pPr>
              <w:pStyle w:val="Compact"/>
              <w:jc w:val="right"/>
            </w:pPr>
            <w:r>
              <w:t xml:space="preserve">2,366 (31.7%)</w:t>
            </w:r>
          </w:p>
        </w:tc>
        <w:tc>
          <w:p>
            <w:pPr>
              <w:pStyle w:val="Compact"/>
              <w:jc w:val="right"/>
            </w:pPr>
            <w:r>
              <w:t xml:space="preserve">13,314 (37.9%)</w:t>
            </w:r>
          </w:p>
        </w:tc>
        <w:tc>
          <w:p>
            <w:pPr>
              <w:pStyle w:val="Compact"/>
              <w:jc w:val="right"/>
            </w:pPr>
            <w:r>
              <w:t xml:space="preserve">−0.130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Treatment and utilization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Active med count</w:t>
            </w:r>
          </w:p>
        </w:tc>
        <w:tc>
          <w:p>
            <w:pPr>
              <w:pStyle w:val="Compact"/>
              <w:jc w:val="left"/>
            </w:pPr>
            <w:r>
              <w:t xml:space="preserve">median (IQR)</w:t>
            </w:r>
          </w:p>
        </w:tc>
        <w:tc>
          <w:p>
            <w:pPr>
              <w:pStyle w:val="Compact"/>
              <w:jc w:val="right"/>
            </w:pPr>
            <w:r>
              <w:t xml:space="preserve">1 (0–2)</w:t>
            </w:r>
          </w:p>
        </w:tc>
        <w:tc>
          <w:p>
            <w:pPr>
              <w:pStyle w:val="Compact"/>
              <w:jc w:val="right"/>
            </w:pPr>
            <w:r>
              <w:t xml:space="preserve">1 (0–2)</w:t>
            </w:r>
          </w:p>
        </w:tc>
        <w:tc>
          <w:p>
            <w:pPr>
              <w:pStyle w:val="Compact"/>
              <w:jc w:val="right"/>
            </w:pPr>
            <w:r>
              <w:t xml:space="preserve">1 (0–2)</w:t>
            </w:r>
          </w:p>
        </w:tc>
        <w:tc>
          <w:p>
            <w:pPr>
              <w:pStyle w:val="Compact"/>
              <w:jc w:val="right"/>
            </w:pPr>
            <w:r>
              <w:t xml:space="preserve">0.084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Encounter count</w:t>
            </w:r>
          </w:p>
        </w:tc>
        <w:tc>
          <w:p>
            <w:pPr>
              <w:pStyle w:val="Compact"/>
              <w:jc w:val="left"/>
            </w:pPr>
            <w:r>
              <w:t xml:space="preserve">median (IQR)</w:t>
            </w:r>
          </w:p>
        </w:tc>
        <w:tc>
          <w:p>
            <w:pPr>
              <w:pStyle w:val="Compact"/>
              <w:jc w:val="right"/>
            </w:pPr>
            <w:r>
              <w:t xml:space="preserve">21 (8–46)</w:t>
            </w:r>
          </w:p>
        </w:tc>
        <w:tc>
          <w:p>
            <w:pPr>
              <w:pStyle w:val="Compact"/>
              <w:jc w:val="right"/>
            </w:pPr>
            <w:r>
              <w:t xml:space="preserve">17 (6–40)</w:t>
            </w:r>
          </w:p>
        </w:tc>
        <w:tc>
          <w:p>
            <w:pPr>
              <w:pStyle w:val="Compact"/>
              <w:jc w:val="right"/>
            </w:pPr>
            <w:r>
              <w:t xml:space="preserve">21 (8–47)</w:t>
            </w:r>
          </w:p>
        </w:tc>
        <w:tc>
          <w:p>
            <w:pPr>
              <w:pStyle w:val="Compact"/>
              <w:jc w:val="right"/>
            </w:pPr>
            <w:r>
              <w:t xml:space="preserve">−0.140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Pre-index history (days)</w:t>
            </w:r>
          </w:p>
        </w:tc>
        <w:tc>
          <w:p>
            <w:pPr>
              <w:pStyle w:val="Compact"/>
              <w:jc w:val="left"/>
            </w:pPr>
            <w:r>
              <w:t xml:space="preserve">median (IQR)</w:t>
            </w:r>
          </w:p>
        </w:tc>
        <w:tc>
          <w:p>
            <w:pPr>
              <w:pStyle w:val="Compact"/>
              <w:jc w:val="right"/>
            </w:pPr>
            <w:r>
              <w:t xml:space="preserve">1,792 (1,216–2,546)</w:t>
            </w:r>
          </w:p>
        </w:tc>
        <w:tc>
          <w:p>
            <w:pPr>
              <w:pStyle w:val="Compact"/>
              <w:jc w:val="right"/>
            </w:pPr>
            <w:r>
              <w:t xml:space="preserve">1,629 (1,141–2,335)</w:t>
            </w:r>
          </w:p>
        </w:tc>
        <w:tc>
          <w:p>
            <w:pPr>
              <w:pStyle w:val="Compact"/>
              <w:jc w:val="right"/>
            </w:pPr>
            <w:r>
              <w:t xml:space="preserve">1,830 (1,239–2,587)</w:t>
            </w:r>
          </w:p>
        </w:tc>
        <w:tc>
          <w:p>
            <w:pPr>
              <w:pStyle w:val="Compact"/>
              <w:jc w:val="right"/>
            </w:pPr>
            <w:r>
              <w:t xml:space="preserve">−0.198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Any prior treatment exposure recorded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10,230 (24.0%)</w:t>
            </w:r>
          </w:p>
        </w:tc>
        <w:tc>
          <w:p>
            <w:pPr>
              <w:pStyle w:val="Compact"/>
              <w:jc w:val="right"/>
            </w:pPr>
            <w:r>
              <w:t xml:space="preserve">1,793 (24.1%)</w:t>
            </w:r>
          </w:p>
        </w:tc>
        <w:tc>
          <w:p>
            <w:pPr>
              <w:pStyle w:val="Compact"/>
              <w:jc w:val="right"/>
            </w:pPr>
            <w:r>
              <w:t xml:space="preserve">8,437 (24.0%)</w:t>
            </w:r>
          </w:p>
        </w:tc>
        <w:tc>
          <w:p>
            <w:pPr>
              <w:pStyle w:val="Compact"/>
              <w:jc w:val="right"/>
            </w:pPr>
            <w:r>
              <w:t xml:space="preserve">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Prior adequate AD trial (any class)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6,276 (14.7%)</w:t>
            </w:r>
          </w:p>
        </w:tc>
        <w:tc>
          <w:p>
            <w:pPr>
              <w:pStyle w:val="Compact"/>
              <w:jc w:val="right"/>
            </w:pPr>
            <w:r>
              <w:t xml:space="preserve">1,050 (14.1%)</w:t>
            </w:r>
          </w:p>
        </w:tc>
        <w:tc>
          <w:p>
            <w:pPr>
              <w:pStyle w:val="Compact"/>
              <w:jc w:val="right"/>
            </w:pPr>
            <w:r>
              <w:t xml:space="preserve">5,226 (14.9%)</w:t>
            </w:r>
          </w:p>
        </w:tc>
        <w:tc>
          <w:p>
            <w:pPr>
              <w:pStyle w:val="Compact"/>
              <w:jc w:val="right"/>
            </w:pPr>
            <w:r>
              <w:t xml:space="preserve">−0.023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Benzodiazepine days recorded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4,724 (11.1%)</w:t>
            </w:r>
          </w:p>
        </w:tc>
        <w:tc>
          <w:p>
            <w:pPr>
              <w:pStyle w:val="Compact"/>
              <w:jc w:val="right"/>
            </w:pPr>
            <w:r>
              <w:t xml:space="preserve">989 (13.3%)</w:t>
            </w:r>
          </w:p>
        </w:tc>
        <w:tc>
          <w:p>
            <w:pPr>
              <w:pStyle w:val="Compact"/>
              <w:jc w:val="right"/>
            </w:pPr>
            <w:r>
              <w:t xml:space="preserve">3,735 (10.6%)</w:t>
            </w:r>
          </w:p>
        </w:tc>
        <w:tc>
          <w:p>
            <w:pPr>
              <w:pStyle w:val="Compact"/>
              <w:jc w:val="right"/>
            </w:pPr>
            <w:r>
              <w:t xml:space="preserve">0.081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Hypnotic recorded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1,661 (3.9%)</w:t>
            </w:r>
          </w:p>
        </w:tc>
        <w:tc>
          <w:p>
            <w:pPr>
              <w:pStyle w:val="Compact"/>
              <w:jc w:val="right"/>
            </w:pPr>
            <w:r>
              <w:t xml:space="preserve">292 (3.9%)</w:t>
            </w:r>
          </w:p>
        </w:tc>
        <w:tc>
          <w:p>
            <w:pPr>
              <w:pStyle w:val="Compact"/>
              <w:jc w:val="right"/>
            </w:pPr>
            <w:r>
              <w:t xml:space="preserve">1,369 (3.9%)</w:t>
            </w:r>
          </w:p>
        </w:tc>
        <w:tc>
          <w:p>
            <w:pPr>
              <w:pStyle w:val="Compact"/>
              <w:jc w:val="right"/>
            </w:pPr>
            <w:r>
              <w:t xml:space="preserve">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Augmentation therapy used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422 (1.0%)</w:t>
            </w:r>
          </w:p>
        </w:tc>
        <w:tc>
          <w:p>
            <w:pPr>
              <w:pStyle w:val="Compact"/>
              <w:jc w:val="right"/>
            </w:pPr>
            <w:r>
              <w:t xml:space="preserve">108 (1.4%)</w:t>
            </w:r>
          </w:p>
        </w:tc>
        <w:tc>
          <w:p>
            <w:pPr>
              <w:pStyle w:val="Compact"/>
              <w:jc w:val="right"/>
            </w:pPr>
            <w:r>
              <w:t xml:space="preserve">314 (0.9%)</w:t>
            </w:r>
          </w:p>
        </w:tc>
        <w:tc>
          <w:p>
            <w:pPr>
              <w:pStyle w:val="Compact"/>
              <w:jc w:val="right"/>
            </w:pPr>
            <w:r>
              <w:t xml:space="preserve">0.052</w:t>
            </w:r>
          </w:p>
        </w:tc>
      </w:tr>
    </w:tbl>
    <w:bookmarkEnd w:id="21"/>
    <w:bookmarkStart w:id="27" w:name="model-discrimination"/>
    <w:p>
      <w:pPr>
        <w:pStyle w:val="Heading2"/>
      </w:pPr>
      <w:r>
        <w:t xml:space="preserve">Model discrimination</w:t>
      </w:r>
    </w:p>
    <w:p>
      <w:pPr>
        <w:pStyle w:val="FirstParagraph"/>
      </w:pPr>
      <w:r>
        <w:t xml:space="preserve">The embedding did not outperform the feature vector. Embedded logistic</w:t>
      </w:r>
      <w:r>
        <w:t xml:space="preserve"> </w:t>
      </w:r>
      <w:r>
        <w:t xml:space="preserve">regression achieved the highest discrimination on the embedded</w:t>
      </w:r>
      <w:r>
        <w:t xml:space="preserve"> </w:t>
      </w:r>
      <w:r>
        <w:t xml:space="preserve">representation (ROC AUC 0.657, 95% CI 0.643–0.672), and XGBoost led the</w:t>
      </w:r>
      <w:r>
        <w:t xml:space="preserve"> </w:t>
      </w:r>
      <w:r>
        <w:t xml:space="preserve">feature-vector models (0.649, 95% CI 0.634–0.664). All eight representation-by-classifier combinations appear in Figure 2A</w:t>
      </w:r>
      <w:r>
        <w:t xml:space="preserve"> </w:t>
      </w:r>
      <w:r>
        <w:t xml:space="preserve">and Table 2. The best embedded model scored 0.008 higher than the best</w:t>
      </w:r>
      <w:r>
        <w:t xml:space="preserve"> </w:t>
      </w:r>
      <w:r>
        <w:t xml:space="preserve">feature-vector model, on an interval from −0.003 to +0.019 that crosses</w:t>
      </w:r>
      <w:r>
        <w:t xml:space="preserve"> </w:t>
      </w:r>
      <w:r>
        <w:t xml:space="preserve">zero (Figure 2B). The comparison is paired: every bootstrap draw scores</w:t>
      </w:r>
      <w:r>
        <w:t xml:space="preserve"> </w:t>
      </w:r>
      <w:r>
        <w:t xml:space="preserve">both models on the same patients, so the interval measures the gap</w:t>
      </w:r>
      <w:r>
        <w:t xml:space="preserve"> </w:t>
      </w:r>
      <w:r>
        <w:t xml:space="preserve">between models rather than the luck of the draw. An embedded gain larger than +0.019 ROC AUC falls outside it.</w:t>
      </w:r>
      <w:r>
        <w:t xml:space="preserve"> </w:t>
      </w:r>
      <w:r>
        <w:t xml:space="preserve">Discrimination was modest throughout, from 0.623 at the lowest</w:t>
      </w:r>
      <w:r>
        <w:t xml:space="preserve"> </w:t>
      </w:r>
      <w:r>
        <w:t xml:space="preserve">configuration to 0.657 at the highest, against a 17.5% TRD-positive</w:t>
      </w:r>
      <w:r>
        <w:t xml:space="preserve"> </w:t>
      </w:r>
      <w:r>
        <w:t xml:space="preserve">rate.</w:t>
      </w:r>
    </w:p>
    <w:p>
      <w:pPr>
        <w:pStyle w:val="BodyText"/>
      </w:pPr>
      <w:r>
        <w:t xml:space="preserve">Which representation won depended on the learner. Holding the classifier</w:t>
      </w:r>
      <w:r>
        <w:t xml:space="preserve"> </w:t>
      </w:r>
      <w:r>
        <w:t xml:space="preserve">fixed, the embedding helped logistic regression (+0.028, 95% CI +0.017 to</w:t>
      </w:r>
      <w:r>
        <w:t xml:space="preserve"> </w:t>
      </w:r>
      <w:r>
        <w:t xml:space="preserve">+0.039). It hurt all three tree ensembles: random forest by 0.022 (95% CI</w:t>
      </w:r>
      <w:r>
        <w:t xml:space="preserve"> </w:t>
      </w:r>
      <w:r>
        <w:t xml:space="preserve">0.011 to 0.033), gradient</w:t>
      </w:r>
      <w:r>
        <w:t xml:space="preserve"> </w:t>
      </w:r>
      <w:r>
        <w:t xml:space="preserve">boosting by 0.013 (0.001 to 0.026), and XGBoost by 0.013 (0.002 to</w:t>
      </w:r>
      <w:r>
        <w:t xml:space="preserve"> </w:t>
      </w:r>
      <w:r>
        <w:t xml:space="preserve">0.025). Tuning grids did not differ between representations, so this is</w:t>
      </w:r>
      <w:r>
        <w:t xml:space="preserve"> </w:t>
      </w:r>
      <w:r>
        <w:t xml:space="preserve">a property of the representation rather than of its tuning.</w:t>
      </w:r>
    </w:p>
    <w:p>
      <w:pPr>
        <w:pStyle w:val="BodyText"/>
      </w:pPr>
      <w:r>
        <w:rPr>
          <w:bCs/>
          <w:b/>
          <w:iCs/>
          <w:i/>
        </w:rPr>
        <w:t xml:space="preserve">Table 2.</w:t>
      </w:r>
      <w:r>
        <w:rPr>
          <w:iCs/>
          <w:i/>
        </w:rPr>
        <w:t xml:space="preserve"> </w:t>
      </w:r>
      <w:r>
        <w:rPr>
          <w:iCs/>
          <w:i/>
        </w:rPr>
        <w:t xml:space="preserve">Discrimination of the four classifiers on each</w:t>
      </w:r>
      <w:r>
        <w:rPr>
          <w:iCs/>
          <w:i/>
        </w:rPr>
        <w:t xml:space="preserve"> </w:t>
      </w:r>
      <w:r>
        <w:rPr>
          <w:iCs/>
          <w:i/>
        </w:rPr>
        <w:t xml:space="preserve">representation (held-out test set). 95% CIs are bootstrap percentile</w:t>
      </w:r>
      <w:r>
        <w:rPr>
          <w:iCs/>
          <w:i/>
        </w:rPr>
        <w:t xml:space="preserve"> </w:t>
      </w:r>
      <w:r>
        <w:rPr>
          <w:iCs/>
          <w:i/>
        </w:rPr>
        <w:t xml:space="preserve">intervals. FEATURE-side values are from the 92-column feature vector.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Representation</w:t>
            </w:r>
          </w:p>
        </w:tc>
        <w:tc>
          <w:p>
            <w:pPr>
              <w:pStyle w:val="Compact"/>
              <w:jc w:val="left"/>
            </w:pPr>
            <w:r>
              <w:t xml:space="preserve">Classifier</w:t>
            </w:r>
          </w:p>
        </w:tc>
        <w:tc>
          <w:p>
            <w:pPr>
              <w:pStyle w:val="Compact"/>
              <w:jc w:val="center"/>
            </w:pPr>
            <w:r>
              <w:t xml:space="preserve">ROC AUC (95% CI)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center"/>
            </w:pPr>
            <w:r>
              <w:t xml:space="preserve">0.657 (0.643–0.672)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center"/>
            </w:pPr>
            <w:r>
              <w:t xml:space="preserve">0.623 (0.608–0.639)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center"/>
            </w:pPr>
            <w:r>
              <w:t xml:space="preserve">0.632 (0.618–0.647)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p>
            <w:pPr>
              <w:pStyle w:val="Compact"/>
              <w:jc w:val="center"/>
            </w:pPr>
            <w:r>
              <w:t xml:space="preserve">0.636 (0.621–0.651)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center"/>
            </w:pPr>
            <w:r>
              <w:t xml:space="preserve">0.629 (0.613–0.644)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center"/>
            </w:pPr>
            <w:r>
              <w:t xml:space="preserve">0.644 (0.630–0.659)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center"/>
            </w:pPr>
            <w:r>
              <w:t xml:space="preserve">0.645 (0.629–0.660)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p>
            <w:pPr>
              <w:pStyle w:val="Compact"/>
              <w:jc w:val="center"/>
            </w:pPr>
            <w:r>
              <w:t xml:space="preserve">0.649 (0.634–0.664)</w:t>
            </w:r>
          </w:p>
        </w:tc>
      </w:tr>
    </w:tbl>
    <w:p>
      <w:pPr>
        <w:pStyle w:val="BodyText"/>
      </w:pPr>
      <w:r>
        <w:drawing>
          <wp:inline>
            <wp:extent cx="5486400" cy="3429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discrimination_forest_EMBEDDED_vs_FEA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2.</w:t>
      </w:r>
      <w:r>
        <w:rPr>
          <w:iCs/>
          <w:i/>
        </w:rPr>
        <w:t xml:space="preserve"> </w:t>
      </w:r>
      <w:r>
        <w:rPr>
          <w:iCs/>
          <w:i/>
        </w:rPr>
        <w:t xml:space="preserve">Discrimination by representation and classifier (held-out</w:t>
      </w:r>
      <w:r>
        <w:rPr>
          <w:iCs/>
          <w:i/>
        </w:rPr>
        <w:t xml:space="preserve"> </w:t>
      </w:r>
      <w:r>
        <w:rPr>
          <w:iCs/>
          <w:i/>
        </w:rPr>
        <w:t xml:space="preserve">test set, n = 8,516; primary Qwen3-Embedding-8B encoder).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(A)</w:t>
      </w:r>
      <w:r>
        <w:rPr>
          <w:iCs/>
          <w:i/>
        </w:rPr>
        <w:t xml:space="preserve"> </w:t>
      </w:r>
      <w:r>
        <w:rPr>
          <w:iCs/>
          <w:i/>
        </w:rPr>
        <w:t xml:space="preserve">All</w:t>
      </w:r>
      <w:r>
        <w:rPr>
          <w:iCs/>
          <w:i/>
        </w:rPr>
        <w:t xml:space="preserve"> </w:t>
      </w:r>
      <w:r>
        <w:rPr>
          <w:iCs/>
          <w:i/>
        </w:rPr>
        <w:t xml:space="preserve">eight representation-by-classifier combinations, grouped with EMBEDDED</w:t>
      </w:r>
      <w:r>
        <w:rPr>
          <w:iCs/>
          <w:i/>
        </w:rPr>
        <w:t xml:space="preserve"> </w:t>
      </w:r>
      <w:r>
        <w:rPr>
          <w:iCs/>
          <w:i/>
        </w:rPr>
        <w:t xml:space="preserve">above FEATURE and in the same classifier order within each group, so the</w:t>
      </w:r>
      <w:r>
        <w:rPr>
          <w:iCs/>
          <w:i/>
        </w:rPr>
        <w:t xml:space="preserve"> </w:t>
      </w:r>
      <w:r>
        <w:rPr>
          <w:iCs/>
          <w:i/>
        </w:rPr>
        <w:t xml:space="preserve">two can be read row for row. Markers are ROC AUC point estimates, bars</w:t>
      </w:r>
      <w:r>
        <w:rPr>
          <w:iCs/>
          <w:i/>
        </w:rPr>
        <w:t xml:space="preserve"> </w:t>
      </w:r>
      <w:r>
        <w:rPr>
          <w:iCs/>
          <w:i/>
        </w:rPr>
        <w:t xml:space="preserve">are bootstrap percentile 95% confidence intervals, and the values are in</w:t>
      </w:r>
      <w:r>
        <w:rPr>
          <w:iCs/>
          <w:i/>
        </w:rPr>
        <w:t xml:space="preserve"> </w:t>
      </w:r>
      <w:r>
        <w:rPr>
          <w:iCs/>
          <w:i/>
        </w:rPr>
        <w:t xml:space="preserve">Table 2.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(B)</w:t>
      </w:r>
      <w:r>
        <w:rPr>
          <w:iCs/>
          <w:i/>
        </w:rPr>
        <w:t xml:space="preserve"> </w:t>
      </w:r>
      <w:r>
        <w:rPr>
          <w:iCs/>
          <w:i/>
        </w:rPr>
        <w:t xml:space="preserve">The paired difference in ROC AUC, EMBEDDED minus</w:t>
      </w:r>
      <w:r>
        <w:rPr>
          <w:iCs/>
          <w:i/>
        </w:rPr>
        <w:t xml:space="preserve"> </w:t>
      </w:r>
      <w:r>
        <w:rPr>
          <w:iCs/>
          <w:i/>
        </w:rPr>
        <w:t xml:space="preserve">FEATURE, with a paired bootstrap 95% interval. The solid line marks</w:t>
      </w:r>
      <w:r>
        <w:rPr>
          <w:iCs/>
          <w:i/>
        </w:rPr>
        <w:t xml:space="preserve"> </w:t>
      </w:r>
      <w:r>
        <w:rPr>
          <w:iCs/>
          <w:i/>
        </w:rPr>
        <w:t xml:space="preserve">zero. The four diamonds hold the classifier fixed and vary only the</w:t>
      </w:r>
      <w:r>
        <w:rPr>
          <w:iCs/>
          <w:i/>
        </w:rPr>
        <w:t xml:space="preserve"> </w:t>
      </w:r>
      <w:r>
        <w:rPr>
          <w:iCs/>
          <w:i/>
        </w:rPr>
        <w:t xml:space="preserve">representation; the star is the post-hoc</w:t>
      </w:r>
      <w:r>
        <w:rPr>
          <w:iCs/>
          <w:i/>
        </w:rPr>
        <w:t xml:space="preserve"> </w:t>
      </w:r>
      <w:r>
        <w:rPr>
          <w:iCs/>
          <w:i/>
        </w:rPr>
        <w:t xml:space="preserve">best-feature-versus-best-embedded contrast, embedded logistic regression</w:t>
      </w:r>
      <w:r>
        <w:rPr>
          <w:iCs/>
          <w:i/>
        </w:rPr>
        <w:t xml:space="preserve"> </w:t>
      </w:r>
      <w:r>
        <w:rPr>
          <w:iCs/>
          <w:i/>
        </w:rPr>
        <w:t xml:space="preserve">minus feature-vector XGBoost.</w:t>
      </w:r>
    </w:p>
    <w:p>
      <w:pPr>
        <w:pStyle w:val="BodyText"/>
      </w:pPr>
      <w:r>
        <w:rPr>
          <w:bCs/>
          <w:b/>
        </w:rPr>
        <w:t xml:space="preserve">(A) Embedded logistic regression</w:t>
      </w:r>
    </w:p>
    <w:p>
      <w:pPr>
        <w:pStyle w:val="BodyText"/>
      </w:pPr>
      <w:r>
        <w:drawing>
          <wp:inline>
            <wp:extent cx="5486400" cy="296265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roc_curves/roc_curve_logistic_regression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6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(B) Feature-vector XGBoost</w:t>
      </w:r>
    </w:p>
    <w:p>
      <w:pPr>
        <w:pStyle w:val="BodyText"/>
      </w:pPr>
      <w:r>
        <w:drawing>
          <wp:inline>
            <wp:extent cx="5486400" cy="296265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roc_curves/roc_curve_xgboost_FEA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6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3.</w:t>
      </w:r>
      <w:r>
        <w:rPr>
          <w:iCs/>
          <w:i/>
        </w:rPr>
        <w:t xml:space="preserve"> </w:t>
      </w:r>
      <w:r>
        <w:rPr>
          <w:iCs/>
          <w:i/>
        </w:rPr>
        <w:t xml:space="preserve">Receiver-operating-characteristic curves for the best</w:t>
      </w:r>
      <w:r>
        <w:rPr>
          <w:iCs/>
          <w:i/>
        </w:rPr>
        <w:t xml:space="preserve"> </w:t>
      </w:r>
      <w:r>
        <w:rPr>
          <w:iCs/>
          <w:i/>
        </w:rPr>
        <w:t xml:space="preserve">classifier on each representation (held-out test set; primary</w:t>
      </w:r>
      <w:r>
        <w:rPr>
          <w:iCs/>
          <w:i/>
        </w:rPr>
        <w:t xml:space="preserve"> </w:t>
      </w:r>
      <w:r>
        <w:rPr>
          <w:iCs/>
          <w:i/>
        </w:rPr>
        <w:t xml:space="preserve">Qwen3-Embedding-8B encoder). Shaded bands are bootstrap 95% confidence</w:t>
      </w:r>
      <w:r>
        <w:rPr>
          <w:iCs/>
          <w:i/>
        </w:rPr>
        <w:t xml:space="preserve"> </w:t>
      </w:r>
      <w:r>
        <w:rPr>
          <w:iCs/>
          <w:i/>
        </w:rPr>
        <w:t xml:space="preserve">intervals; point AUCs are given in Table 2.</w:t>
      </w:r>
    </w:p>
    <w:p>
      <w:pPr>
        <w:pStyle w:val="BodyText"/>
      </w:pPr>
      <w:r>
        <w:t xml:space="preserve">The two behaved alike at their Youden-J operating points (Figure 4).</w:t>
      </w:r>
      <w:r>
        <w:t xml:space="preserve"> </w:t>
      </w:r>
      <w:r>
        <w:t xml:space="preserve">Embedded logistic regression ran at slightly higher sensitivity than</w:t>
      </w:r>
      <w:r>
        <w:t xml:space="preserve"> </w:t>
      </w:r>
      <w:r>
        <w:t xml:space="preserve">feature-vector XGBoost (0.65 versus 0.62), flagging 964 of 1,491</w:t>
      </w:r>
      <w:r>
        <w:t xml:space="preserve"> </w:t>
      </w:r>
      <w:r>
        <w:t xml:space="preserve">held-out TRD patients against 917, and at slightly lower specificity</w:t>
      </w:r>
      <w:r>
        <w:t xml:space="preserve"> </w:t>
      </w:r>
      <w:r>
        <w:t xml:space="preserve">(0.58 versus 0.61), producing more false positives (2,932 versus 2,768).</w:t>
      </w:r>
      <w:r>
        <w:t xml:space="preserve"> </w:t>
      </w:r>
      <w:r>
        <w:t xml:space="preserve">Both thresholds fell near 0.17. They were chosen on the same patients</w:t>
      </w:r>
      <w:r>
        <w:t xml:space="preserve"> </w:t>
      </w:r>
      <w:r>
        <w:t xml:space="preserve">the models were scored on, so these figures describe the shape of each</w:t>
      </w:r>
      <w:r>
        <w:t xml:space="preserve"> </w:t>
      </w:r>
      <w:r>
        <w:t xml:space="preserve">ROC curve rather than performance at a prespecified threshold, and are</w:t>
      </w:r>
      <w:r>
        <w:t xml:space="preserve"> </w:t>
      </w:r>
      <w:r>
        <w:t xml:space="preserve">not candidate operating characteristics.</w:t>
      </w:r>
    </w:p>
    <w:p>
      <w:pPr>
        <w:pStyle w:val="BodyText"/>
      </w:pPr>
      <w:r>
        <w:rPr>
          <w:bCs/>
          <w:b/>
        </w:rPr>
        <w:t xml:space="preserve">(A) Embedded logistic regression</w:t>
      </w:r>
    </w:p>
    <w:p>
      <w:pPr>
        <w:pStyle w:val="BodyText"/>
      </w:pPr>
      <w:r>
        <w:drawing>
          <wp:inline>
            <wp:extent cx="5486400" cy="296265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confusion_matrices/confusion_matrix_logistic_regression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6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(B) Feature-vector XGBoost</w:t>
      </w:r>
    </w:p>
    <w:p>
      <w:pPr>
        <w:pStyle w:val="BodyText"/>
      </w:pPr>
      <w:r>
        <w:drawing>
          <wp:inline>
            <wp:extent cx="5486400" cy="296265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confusion_matrices/confusion_matrix_xgboost_FEA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6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4.</w:t>
      </w:r>
      <w:r>
        <w:rPr>
          <w:iCs/>
          <w:i/>
        </w:rPr>
        <w:t xml:space="preserve"> </w:t>
      </w:r>
      <w:r>
        <w:rPr>
          <w:iCs/>
          <w:i/>
        </w:rPr>
        <w:t xml:space="preserve">Confusion matrices at the Youden-J optimal operating point</w:t>
      </w:r>
      <w:r>
        <w:rPr>
          <w:iCs/>
          <w:i/>
        </w:rPr>
        <w:t xml:space="preserve"> </w:t>
      </w:r>
      <w:r>
        <w:rPr>
          <w:iCs/>
          <w:i/>
        </w:rPr>
        <w:t xml:space="preserve">for the best classifier on each representation (held-out test set;</w:t>
      </w:r>
      <w:r>
        <w:rPr>
          <w:iCs/>
          <w:i/>
        </w:rPr>
        <w:t xml:space="preserve"> </w:t>
      </w:r>
      <w:r>
        <w:rPr>
          <w:iCs/>
          <w:i/>
        </w:rPr>
        <w:t xml:space="preserve">primary Qwen3-Embedding-8B encoder).</w:t>
      </w:r>
    </w:p>
    <w:bookmarkEnd w:id="27"/>
    <w:bookmarkStart w:id="30" w:name="model-calibration"/>
    <w:p>
      <w:pPr>
        <w:pStyle w:val="Heading2"/>
      </w:pPr>
      <w:r>
        <w:t xml:space="preserve">Model calibration</w:t>
      </w:r>
    </w:p>
    <w:p>
      <w:pPr>
        <w:pStyle w:val="FirstParagraph"/>
      </w:pPr>
      <w:r>
        <w:t xml:space="preserve">Neither representation was systematically better scaled than the other</w:t>
      </w:r>
      <w:r>
        <w:t xml:space="preserve"> </w:t>
      </w:r>
      <w:r>
        <w:t xml:space="preserve">(Table 3, Figure 5). On</w:t>
      </w:r>
      <w:r>
        <w:t xml:space="preserve"> </w:t>
      </w:r>
      <w:r>
        <w:t xml:space="preserve">the embedded representation, gradient boosting was the best-calibrated</w:t>
      </w:r>
      <w:r>
        <w:t xml:space="preserve"> </w:t>
      </w:r>
      <w:r>
        <w:t xml:space="preserve">model (slope 1.01, intercept 0.01). Logistic regression was mildly</w:t>
      </w:r>
      <w:r>
        <w:t xml:space="preserve"> </w:t>
      </w:r>
      <w:r>
        <w:t xml:space="preserve">under-confident (slope 1.27, the slope above 1 indicating probabilities</w:t>
      </w:r>
      <w:r>
        <w:t xml:space="preserve"> </w:t>
      </w:r>
      <w:r>
        <w:t xml:space="preserve">pulled toward the base rate), random forest similar (1.15), and XGBoost</w:t>
      </w:r>
      <w:r>
        <w:t xml:space="preserve"> </w:t>
      </w:r>
      <w:r>
        <w:t xml:space="preserve">mildly over-confident (slope 0.75). On the feature vector, XGBoost was</w:t>
      </w:r>
      <w:r>
        <w:t xml:space="preserve"> </w:t>
      </w:r>
      <w:r>
        <w:t xml:space="preserve">best-calibrated (slope 1.02, intercept 0.02) and random forest the worst</w:t>
      </w:r>
      <w:r>
        <w:t xml:space="preserve"> </w:t>
      </w:r>
      <w:r>
        <w:t xml:space="preserve">(slope 1.84). Each representation therefore contained both a</w:t>
      </w:r>
      <w:r>
        <w:t xml:space="preserve"> </w:t>
      </w:r>
      <w:r>
        <w:t xml:space="preserve">near-ideally calibrated model and a poorly calibrated one, and which</w:t>
      </w:r>
      <w:r>
        <w:t xml:space="preserve"> </w:t>
      </w:r>
      <w:r>
        <w:t xml:space="preserve">classifier occupied which position differed between them. No model</w:t>
      </w:r>
      <w:r>
        <w:t xml:space="preserve"> </w:t>
      </w:r>
      <w:r>
        <w:t xml:space="preserve">placed any test prediction above 0.9, as expected at this base rate.</w:t>
      </w:r>
      <w:r>
        <w:t xml:space="preserve"> </w:t>
      </w:r>
      <w:r>
        <w:t xml:space="preserve">Absolute-error metrics are in Supplement S3. Every one of these figures</w:t>
      </w:r>
      <w:r>
        <w:t xml:space="preserve"> </w:t>
      </w:r>
      <w:r>
        <w:t xml:space="preserve">is scaled to this cohort’s 17.5% TRD rate, which the sampling design</w:t>
      </w:r>
      <w:r>
        <w:t xml:space="preserve"> </w:t>
      </w:r>
      <w:r>
        <w:t xml:space="preserve">chose, so none of them establishes calibration anywhere else.</w:t>
      </w:r>
    </w:p>
    <w:p>
      <w:pPr>
        <w:pStyle w:val="BodyText"/>
      </w:pPr>
      <w:r>
        <w:rPr>
          <w:bCs/>
          <w:b/>
          <w:iCs/>
          <w:i/>
        </w:rPr>
        <w:t xml:space="preserve">Table 3.</w:t>
      </w:r>
      <w:r>
        <w:rPr>
          <w:iCs/>
          <w:i/>
        </w:rPr>
        <w:t xml:space="preserve"> </w:t>
      </w:r>
      <w:r>
        <w:rPr>
          <w:iCs/>
          <w:i/>
        </w:rPr>
        <w:t xml:space="preserve">Calibration slope (ideal 1) and intercept (ideal 0) of the</w:t>
      </w:r>
      <w:r>
        <w:rPr>
          <w:iCs/>
          <w:i/>
        </w:rPr>
        <w:t xml:space="preserve"> </w:t>
      </w:r>
      <w:r>
        <w:rPr>
          <w:iCs/>
          <w:i/>
        </w:rPr>
        <w:t xml:space="preserve">four classifiers on each representation (held-out test set). Brier score</w:t>
      </w:r>
      <w:r>
        <w:rPr>
          <w:iCs/>
          <w:i/>
        </w:rPr>
        <w:t xml:space="preserve"> </w:t>
      </w:r>
      <w:r>
        <w:rPr>
          <w:iCs/>
          <w:i/>
        </w:rPr>
        <w:t xml:space="preserve">and weighted calibration error are reported in Supplement S3 (Table S3).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Representation</w:t>
            </w:r>
          </w:p>
        </w:tc>
        <w:tc>
          <w:p>
            <w:pPr>
              <w:pStyle w:val="Compact"/>
              <w:jc w:val="left"/>
            </w:pPr>
            <w:r>
              <w:t xml:space="preserve">Classifier</w:t>
            </w:r>
          </w:p>
        </w:tc>
        <w:tc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p>
            <w:pPr>
              <w:pStyle w:val="Compact"/>
              <w:jc w:val="right"/>
            </w:pPr>
            <w:r>
              <w:t xml:space="preserve">Intercept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p>
            <w:pPr>
              <w:pStyle w:val="Compact"/>
              <w:jc w:val="right"/>
            </w:pPr>
            <w:r>
              <w:t xml:space="preserve">−0.07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right"/>
            </w:pPr>
            <w:r>
              <w:t xml:space="preserve">1.15</w:t>
            </w:r>
          </w:p>
        </w:tc>
        <w:tc>
          <w:p>
            <w:pPr>
              <w:pStyle w:val="Compact"/>
              <w:jc w:val="right"/>
            </w:pPr>
            <w:r>
              <w:t xml:space="preserve">−0.02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p>
            <w:pPr>
              <w:pStyle w:val="Compact"/>
              <w:jc w:val="right"/>
            </w:pPr>
            <w:r>
              <w:t xml:space="preserve">0.01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p>
            <w:pPr>
              <w:pStyle w:val="Compact"/>
              <w:jc w:val="right"/>
            </w:pPr>
            <w:r>
              <w:t xml:space="preserve">0.07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p>
            <w:pPr>
              <w:pStyle w:val="Compact"/>
              <w:jc w:val="right"/>
            </w:pPr>
            <w:r>
              <w:t xml:space="preserve">0.06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right"/>
            </w:pPr>
            <w:r>
              <w:t xml:space="preserve">1.84</w:t>
            </w:r>
          </w:p>
        </w:tc>
        <w:tc>
          <w:p>
            <w:pPr>
              <w:pStyle w:val="Compact"/>
              <w:jc w:val="right"/>
            </w:pPr>
            <w:r>
              <w:t xml:space="preserve">−0.15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p>
            <w:pPr>
              <w:pStyle w:val="Compact"/>
              <w:jc w:val="right"/>
            </w:pPr>
            <w:r>
              <w:t xml:space="preserve">1.02</w:t>
            </w:r>
          </w:p>
        </w:tc>
        <w:tc>
          <w:p>
            <w:pPr>
              <w:pStyle w:val="Compact"/>
              <w:jc w:val="right"/>
            </w:pPr>
            <w:r>
              <w:t xml:space="preserve">0.02</w:t>
            </w:r>
          </w:p>
        </w:tc>
      </w:tr>
    </w:tbl>
    <w:p>
      <w:pPr>
        <w:pStyle w:val="BodyText"/>
      </w:pPr>
      <w:r>
        <w:rPr>
          <w:bCs/>
          <w:b/>
        </w:rPr>
        <w:t xml:space="preserve">(A) Embedded logistic regression</w:t>
      </w:r>
    </w:p>
    <w:p>
      <w:pPr>
        <w:pStyle w:val="BodyText"/>
      </w:pPr>
      <w:r>
        <w:drawing>
          <wp:inline>
            <wp:extent cx="5486400" cy="296265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calibration_curves/calibration_curve_logistic_regression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6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(B) Feature-vector XGBoost</w:t>
      </w:r>
    </w:p>
    <w:p>
      <w:pPr>
        <w:pStyle w:val="BodyText"/>
      </w:pPr>
      <w:r>
        <w:drawing>
          <wp:inline>
            <wp:extent cx="5486400" cy="296265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calibration_curves/calibration_curve_xgboost_FEA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6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5.</w:t>
      </w:r>
      <w:r>
        <w:rPr>
          <w:iCs/>
          <w:i/>
        </w:rPr>
        <w:t xml:space="preserve"> </w:t>
      </w:r>
      <w:r>
        <w:rPr>
          <w:iCs/>
          <w:i/>
        </w:rPr>
        <w:t xml:space="preserve">Calibration curves for the best classifier on each</w:t>
      </w:r>
      <w:r>
        <w:rPr>
          <w:iCs/>
          <w:i/>
        </w:rPr>
        <w:t xml:space="preserve"> </w:t>
      </w:r>
      <w:r>
        <w:rPr>
          <w:iCs/>
          <w:i/>
        </w:rPr>
        <w:t xml:space="preserve">representation (held-out test set; primary Qwen3-Embedding-8B encoder).</w:t>
      </w:r>
      <w:r>
        <w:rPr>
          <w:iCs/>
          <w:i/>
        </w:rPr>
        <w:t xml:space="preserve"> </w:t>
      </w:r>
      <w:r>
        <w:rPr>
          <w:iCs/>
          <w:i/>
        </w:rPr>
        <w:t xml:space="preserve">The diagonal is perfect calibration. Deviations above it indicate</w:t>
      </w:r>
      <w:r>
        <w:rPr>
          <w:iCs/>
          <w:i/>
        </w:rPr>
        <w:t xml:space="preserve"> </w:t>
      </w:r>
      <w:r>
        <w:rPr>
          <w:iCs/>
          <w:i/>
        </w:rPr>
        <w:t xml:space="preserve">under-confidence and below it over-confidence. Per-classifier calibration</w:t>
      </w:r>
      <w:r>
        <w:rPr>
          <w:iCs/>
          <w:i/>
        </w:rPr>
        <w:t xml:space="preserve"> </w:t>
      </w:r>
      <w:r>
        <w:rPr>
          <w:iCs/>
          <w:i/>
        </w:rPr>
        <w:t xml:space="preserve">slope and intercept are given in Table 3.</w:t>
      </w:r>
    </w:p>
    <w:bookmarkEnd w:id="30"/>
    <w:bookmarkStart w:id="36" w:name="what-each-representation-reads"/>
    <w:p>
      <w:pPr>
        <w:pStyle w:val="Heading2"/>
      </w:pPr>
      <w:r>
        <w:t xml:space="preserve">What each representation reads</w:t>
      </w:r>
    </w:p>
    <w:p>
      <w:pPr>
        <w:pStyle w:val="FirstParagraph"/>
      </w:pPr>
      <w:r>
        <w:t xml:space="preserve">Only the feature vector can be read directly.</w:t>
      </w:r>
      <w:r>
        <w:t xml:space="preserve"> </w:t>
      </w:r>
      <w:r>
        <w:t xml:space="preserve">The embedded representation’s 4,096 latent dimensions carry no</w:t>
      </w:r>
      <w:r>
        <w:t xml:space="preserve"> </w:t>
      </w:r>
      <w:r>
        <w:t xml:space="preserve">individual clinical meaning, so per-concept attribution on the embedded</w:t>
      </w:r>
      <w:r>
        <w:t xml:space="preserve"> </w:t>
      </w:r>
      <w:r>
        <w:t xml:space="preserve">side is addressed by the ablation below rather than by an importance</w:t>
      </w:r>
      <w:r>
        <w:t xml:space="preserve"> </w:t>
      </w:r>
      <w:r>
        <w:t xml:space="preserve">ranking. On the feature vector, the highest-weighted predictors</w:t>
      </w:r>
      <w:r>
        <w:t xml:space="preserve"> </w:t>
      </w:r>
      <w:r>
        <w:t xml:space="preserve">recapitulated the strongest univariate correlates of TRD in Table 1.</w:t>
      </w:r>
      <w:r>
        <w:t xml:space="preserve"> </w:t>
      </w:r>
      <w:r>
        <w:t xml:space="preserve">Severe MDD coding, a flagged suicidality history, insomnia,</w:t>
      </w:r>
      <w:r>
        <w:t xml:space="preserve"> </w:t>
      </w:r>
      <w:r>
        <w:t xml:space="preserve">obsessive–compulsive disorder, opioid use disorder, PTSD, and anxiety</w:t>
      </w:r>
      <w:r>
        <w:t xml:space="preserve"> </w:t>
      </w:r>
      <w:r>
        <w:t xml:space="preserve">disorder carried the largest positive logistic-regression weights.</w:t>
      </w:r>
      <w:r>
        <w:t xml:space="preserve"> </w:t>
      </w:r>
      <w:r>
        <w:t xml:space="preserve">Indicators such as missing smoking status, hyperlipidemia, longer</w:t>
      </w:r>
      <w:r>
        <w:t xml:space="preserve"> </w:t>
      </w:r>
      <w:r>
        <w:t xml:space="preserve">pre-index history, and male sex carried negative weights. Importances for</w:t>
      </w:r>
      <w:r>
        <w:t xml:space="preserve"> </w:t>
      </w:r>
      <w:r>
        <w:t xml:space="preserve">all four classifiers are shown in Figure 6. The tree ensembles concentrated on a similar set of psychiatric and</w:t>
      </w:r>
      <w:r>
        <w:t xml:space="preserve"> </w:t>
      </w:r>
      <w:r>
        <w:t xml:space="preserve">substance-use predictors at the top, with direction of effect recovered</w:t>
      </w:r>
      <w:r>
        <w:t xml:space="preserve"> </w:t>
      </w:r>
      <w:r>
        <w:t xml:space="preserve">by univariate correlation. The readable side of the null is therefore</w:t>
      </w:r>
      <w:r>
        <w:t xml:space="preserve"> </w:t>
      </w:r>
      <w:r>
        <w:t xml:space="preserve">reading recognizable psychiatric risk, which is what separates a tie</w:t>
      </w:r>
      <w:r>
        <w:t xml:space="preserve"> </w:t>
      </w:r>
      <w:r>
        <w:t xml:space="preserve">between two working models from a tie between two failing ones.</w:t>
      </w:r>
    </w:p>
    <w:p>
      <w:pPr>
        <w:pStyle w:val="BodyText"/>
      </w:pPr>
      <w:r>
        <w:rPr>
          <w:bCs/>
          <w:b/>
        </w:rPr>
        <w:t xml:space="preserve">(A) Logistic regression</w:t>
      </w:r>
    </w:p>
    <w:p>
      <w:pPr>
        <w:pStyle w:val="BodyText"/>
      </w:pPr>
      <w:r>
        <w:drawing>
          <wp:inline>
            <wp:extent cx="5486400" cy="334670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logistic_regress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(B) Random forest</w:t>
      </w:r>
    </w:p>
    <w:p>
      <w:pPr>
        <w:pStyle w:val="BodyText"/>
      </w:pPr>
      <w:r>
        <w:drawing>
          <wp:inline>
            <wp:extent cx="5486400" cy="334670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random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(C) Gradient boosting</w:t>
      </w:r>
    </w:p>
    <w:p>
      <w:pPr>
        <w:pStyle w:val="BodyText"/>
      </w:pPr>
      <w:r>
        <w:drawing>
          <wp:inline>
            <wp:extent cx="5486400" cy="334670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gradient_boost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(D) XGBoost</w:t>
      </w:r>
    </w:p>
    <w:p>
      <w:pPr>
        <w:pStyle w:val="BodyText"/>
      </w:pPr>
      <w:r>
        <w:drawing>
          <wp:inline>
            <wp:extent cx="5486400" cy="334670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xgboo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6.</w:t>
      </w:r>
      <w:r>
        <w:rPr>
          <w:iCs/>
          <w:i/>
        </w:rPr>
        <w:t xml:space="preserve"> </w:t>
      </w:r>
      <w:r>
        <w:rPr>
          <w:iCs/>
          <w:i/>
        </w:rPr>
        <w:t xml:space="preserve">Feature importance on the feature-vector representation, one</w:t>
      </w:r>
      <w:r>
        <w:rPr>
          <w:iCs/>
          <w:i/>
        </w:rPr>
        <w:t xml:space="preserve"> </w:t>
      </w:r>
      <w:r>
        <w:rPr>
          <w:iCs/>
          <w:i/>
        </w:rPr>
        <w:t xml:space="preserve">panel per classifier. (A) Signed logistic-regression coefficients</w:t>
      </w:r>
      <w:r>
        <w:rPr>
          <w:iCs/>
          <w:i/>
        </w:rPr>
        <w:t xml:space="preserve"> </w:t>
      </w:r>
      <w:r>
        <w:rPr>
          <w:iCs/>
          <w:i/>
        </w:rPr>
        <w:t xml:space="preserve">(steelblue raises TRD risk, firebrick lowers it). (B) Random forest,</w:t>
      </w:r>
      <w:r>
        <w:rPr>
          <w:iCs/>
          <w:i/>
        </w:rPr>
        <w:t xml:space="preserve"> </w:t>
      </w:r>
      <w:r>
        <w:rPr>
          <w:iCs/>
          <w:i/>
        </w:rPr>
        <w:t xml:space="preserve">(C) gradient boosting, and (D) XGBoost importances, with</w:t>
      </w:r>
      <w:r>
        <w:rPr>
          <w:iCs/>
          <w:i/>
        </w:rPr>
        <w:t xml:space="preserve"> </w:t>
      </w:r>
      <w:r>
        <w:rPr>
          <w:iCs/>
          <w:i/>
        </w:rPr>
        <w:t xml:space="preserve">direction-of-effect recovered by univariate correlation. The</w:t>
      </w:r>
      <w:r>
        <w:rPr>
          <w:iCs/>
          <w:i/>
        </w:rPr>
        <w:t xml:space="preserve"> </w:t>
      </w:r>
      <w:r>
        <w:rPr>
          <w:iCs/>
          <w:i/>
        </w:rPr>
        <w:t xml:space="preserve">highest-ranked predictors mirror the largest TRD-stratified differences</w:t>
      </w:r>
      <w:r>
        <w:rPr>
          <w:iCs/>
          <w:i/>
        </w:rPr>
        <w:t xml:space="preserve"> </w:t>
      </w:r>
      <w:r>
        <w:rPr>
          <w:iCs/>
          <w:i/>
        </w:rPr>
        <w:t xml:space="preserve">in Table 1.</w:t>
      </w:r>
    </w:p>
    <w:p>
      <w:pPr>
        <w:pStyle w:val="BodyText"/>
      </w:pPr>
      <w:r>
        <w:t xml:space="preserve">The embedded model used far fewer dimensions than it was given.</w:t>
      </w:r>
      <w:r>
        <w:t xml:space="preserve"> </w:t>
      </w:r>
      <w:r>
        <w:t xml:space="preserve">Cross-validated elasticnet left 385 of the 4,096 with nonzero weight,</w:t>
      </w:r>
      <w:r>
        <w:t xml:space="preserve"> </w:t>
      </w:r>
      <w:r>
        <w:t xml:space="preserve">and roughly 179 of those carried 80% of the total coefficient magnitude</w:t>
      </w:r>
      <w:r>
        <w:t xml:space="preserve"> </w:t>
      </w:r>
      <w:r>
        <w:t xml:space="preserve">(roughly 236 carried 90%; Figure 7). Fewer than 5% of the available dimensions</w:t>
      </w:r>
      <w:r>
        <w:t xml:space="preserve"> </w:t>
      </w:r>
      <w:r>
        <w:t xml:space="preserve">therefore account for most of the fit, and model-agnostic correlation</w:t>
      </w:r>
      <w:r>
        <w:t xml:space="preserve"> </w:t>
      </w:r>
      <w:r>
        <w:t xml:space="preserve">and principal-component checks agree (Supplement S1).</w:t>
      </w:r>
    </w:p>
    <w:p>
      <w:pPr>
        <w:pStyle w:val="BodyText"/>
      </w:pPr>
      <w:r>
        <w:drawing>
          <wp:inline>
            <wp:extent cx="5486400" cy="329184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cumulative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7.</w:t>
      </w:r>
      <w:r>
        <w:rPr>
          <w:iCs/>
          <w:i/>
        </w:rPr>
        <w:t xml:space="preserve"> </w:t>
      </w:r>
      <w:r>
        <w:rPr>
          <w:iCs/>
          <w:i/>
        </w:rPr>
        <w:t xml:space="preserve">Effective dimensionality of the embedded representation</w:t>
      </w:r>
      <w:r>
        <w:rPr>
          <w:iCs/>
          <w:i/>
        </w:rPr>
        <w:t xml:space="preserve"> </w:t>
      </w:r>
      <w:r>
        <w:rPr>
          <w:iCs/>
          <w:i/>
        </w:rPr>
        <w:t xml:space="preserve">(primary Qwen3-Embedding-8B encoder): cumulative built-in feature</w:t>
      </w:r>
      <w:r>
        <w:rPr>
          <w:iCs/>
          <w:i/>
        </w:rPr>
        <w:t xml:space="preserve"> </w:t>
      </w:r>
      <w:r>
        <w:rPr>
          <w:iCs/>
          <w:i/>
        </w:rPr>
        <w:t xml:space="preserve">importance for the four embedded classifiers. Each curve plots the</w:t>
      </w:r>
      <w:r>
        <w:rPr>
          <w:iCs/>
          <w:i/>
        </w:rPr>
        <w:t xml:space="preserve"> </w:t>
      </w:r>
      <w:r>
        <w:rPr>
          <w:iCs/>
          <w:i/>
        </w:rPr>
        <w:t xml:space="preserve">cumulative fraction of total importance mass against dimension rank, with</w:t>
      </w:r>
      <w:r>
        <w:rPr>
          <w:iCs/>
          <w:i/>
        </w:rPr>
        <w:t xml:space="preserve"> </w:t>
      </w:r>
      <w:r>
        <w:rPr>
          <w:iCs/>
          <w:i/>
        </w:rPr>
        <w:t xml:space="preserve">dimensions sorted by descending native importance, and the K₈₀ / K₉₀</w:t>
      </w:r>
      <w:r>
        <w:rPr>
          <w:iCs/>
          <w:i/>
        </w:rPr>
        <w:t xml:space="preserve"> </w:t>
      </w:r>
      <w:r>
        <w:rPr>
          <w:iCs/>
          <w:i/>
        </w:rPr>
        <w:t xml:space="preserve">knees are reported in the legend. Model-agnostic correlation and PCA-based checks are in Supplement S1.</w:t>
      </w:r>
    </w:p>
    <w:bookmarkEnd w:id="36"/>
    <w:bookmarkStart w:id="38" w:name="semantic-feature-ablation"/>
    <w:p>
      <w:pPr>
        <w:pStyle w:val="Heading2"/>
      </w:pPr>
      <w:r>
        <w:t xml:space="preserve">Semantic-feature ablation</w:t>
      </w:r>
    </w:p>
    <w:p>
      <w:pPr>
        <w:pStyle w:val="FirstParagraph"/>
      </w:pPr>
      <w:r>
        <w:t xml:space="preserve">Permuting narrative concepts one at a time located the embedded signal in</w:t>
      </w:r>
      <w:r>
        <w:t xml:space="preserve"> </w:t>
      </w:r>
      <w:r>
        <w:t xml:space="preserve">psychiatric history, medication burden, and prior treatment exposure.</w:t>
      </w:r>
      <w:r>
        <w:t xml:space="preserve"> </w:t>
      </w:r>
      <w:r>
        <w:t xml:space="preserve">Psychiatric history produced the largest discrimination loss (logistic</w:t>
      </w:r>
      <w:r>
        <w:t xml:space="preserve"> </w:t>
      </w:r>
      <w:r>
        <w:t xml:space="preserve">regression, a ROC AUC change of −0.028, with the other three</w:t>
      </w:r>
      <w:r>
        <w:t xml:space="preserve"> </w:t>
      </w:r>
      <w:r>
        <w:t xml:space="preserve">classifiers between −0.024 and −0.027). Medication burden produced the second largest</w:t>
      </w:r>
      <w:r>
        <w:t xml:space="preserve"> </w:t>
      </w:r>
      <w:r>
        <w:t xml:space="preserve">(−0.003 to −0.027) and treatment exposure the third (−0.019 for logistic</w:t>
      </w:r>
      <w:r>
        <w:t xml:space="preserve"> </w:t>
      </w:r>
      <w:r>
        <w:t xml:space="preserve">regression, and +0.000 to −0.011 for the other three).</w:t>
      </w:r>
      <w:r>
        <w:t xml:space="preserve"> </w:t>
      </w:r>
      <w:r>
        <w:t xml:space="preserve">Permuting the two sociodemographic concepts, race/ethnicity and social</w:t>
      </w:r>
      <w:r>
        <w:t xml:space="preserve"> </w:t>
      </w:r>
      <w:r>
        <w:t xml:space="preserve">determinants of health, or the treatment-contraindication section</w:t>
      </w:r>
      <w:r>
        <w:t xml:space="preserve"> </w:t>
      </w:r>
      <w:r>
        <w:t xml:space="preserve">changed discrimination by no more than 0.005 under any classifier</w:t>
      </w:r>
      <w:r>
        <w:t xml:space="preserve"> </w:t>
      </w:r>
      <w:r>
        <w:t xml:space="preserve">(Table 4, Figure 8).</w:t>
      </w:r>
    </w:p>
    <w:p>
      <w:pPr>
        <w:pStyle w:val="BodyText"/>
      </w:pPr>
      <w:r>
        <w:t xml:space="preserve">Paired-bootstrap intervals excluded zero for psychiatric history in all</w:t>
      </w:r>
      <w:r>
        <w:t xml:space="preserve"> </w:t>
      </w:r>
      <w:r>
        <w:t xml:space="preserve">four classifiers, medication burden in three, and treatment exposure in</w:t>
      </w:r>
      <w:r>
        <w:t xml:space="preserve"> </w:t>
      </w:r>
      <w:r>
        <w:t xml:space="preserve">two. Among the remaining concepts only one interval excluded zero,</w:t>
      </w:r>
      <w:r>
        <w:t xml:space="preserve"> </w:t>
      </w:r>
      <w:r>
        <w:t xml:space="preserve">treatment contraindications under XGBoost at −0.005 (−0.008 to −0.001),</w:t>
      </w:r>
      <w:r>
        <w:t xml:space="preserve"> </w:t>
      </w:r>
      <w:r>
        <w:t xml:space="preserve">and race and social determinants moved ROC AUC by less than 0.003</w:t>
      </w:r>
      <w:r>
        <w:t xml:space="preserve"> </w:t>
      </w:r>
      <w:r>
        <w:t xml:space="preserve">anywhere.</w:t>
      </w:r>
    </w:p>
    <w:p>
      <w:pPr>
        <w:pStyle w:val="BodyText"/>
      </w:pPr>
      <w:r>
        <w:t xml:space="preserve">The domains the embedding relies on are the same domains that carry the</w:t>
      </w:r>
      <w:r>
        <w:t xml:space="preserve"> </w:t>
      </w:r>
      <w:r>
        <w:t xml:space="preserve">largest feature-vector weights. That convergence is the mechanism behind the null in Table 2: the two representations are reading the same</w:t>
      </w:r>
      <w:r>
        <w:t xml:space="preserve"> </w:t>
      </w:r>
      <w:r>
        <w:t xml:space="preserve">clinical content out of the same record, and the embedding reorganizes it</w:t>
      </w:r>
      <w:r>
        <w:t xml:space="preserve"> </w:t>
      </w:r>
      <w:r>
        <w:t xml:space="preserve">without adding to it.</w:t>
      </w:r>
    </w:p>
    <w:p>
      <w:pPr>
        <w:pStyle w:val="BodyText"/>
      </w:pPr>
      <w:r>
        <w:rPr>
          <w:bCs/>
          <w:b/>
          <w:iCs/>
          <w:i/>
        </w:rPr>
        <w:t xml:space="preserve">Table 4.</w:t>
      </w:r>
      <w:r>
        <w:rPr>
          <w:iCs/>
          <w:i/>
        </w:rPr>
        <w:t xml:space="preserve"> </w:t>
      </w:r>
      <w:r>
        <w:rPr>
          <w:iCs/>
          <w:i/>
        </w:rPr>
        <w:t xml:space="preserve">Semantic-feature ablation: change in ROC AUC versus the</w:t>
      </w:r>
      <w:r>
        <w:rPr>
          <w:iCs/>
          <w:i/>
        </w:rPr>
        <w:t xml:space="preserve"> </w:t>
      </w:r>
      <w:r>
        <w:rPr>
          <w:iCs/>
          <w:i/>
        </w:rPr>
        <w:t xml:space="preserve">frozen baseline when each narrative concept is permuted across donors</w:t>
      </w:r>
      <w:r>
        <w:rPr>
          <w:iCs/>
          <w:i/>
        </w:rPr>
        <w:t xml:space="preserve"> </w:t>
      </w:r>
      <w:r>
        <w:rPr>
          <w:iCs/>
          <w:i/>
        </w:rPr>
        <w:t xml:space="preserve">(embedded representation, primary Qwen3-Embedding-8B encoder). More</w:t>
      </w:r>
      <w:r>
        <w:rPr>
          <w:iCs/>
          <w:i/>
        </w:rPr>
        <w:t xml:space="preserve"> </w:t>
      </w:r>
      <w:r>
        <w:rPr>
          <w:iCs/>
          <w:i/>
        </w:rPr>
        <w:t xml:space="preserve">negative = larger reliance on that concept. Point estimates, ordered by descending logistic-regression loss to match</w:t>
      </w:r>
      <w:r>
        <w:rPr>
          <w:iCs/>
          <w:i/>
        </w:rPr>
        <w:t xml:space="preserve"> </w:t>
      </w:r>
      <w:r>
        <w:rPr>
          <w:iCs/>
          <w:i/>
        </w:rPr>
        <w:t xml:space="preserve">Figure 8. Paired-bootstrap intervals are quoted in the text.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Permuted concept</w:t>
            </w:r>
          </w:p>
        </w:tc>
        <w:tc>
          <w:p>
            <w:pPr>
              <w:pStyle w:val="Compact"/>
              <w:jc w:val="right"/>
            </w:pPr>
            <w:r>
              <w:t xml:space="preserve">LR</w:t>
            </w:r>
          </w:p>
        </w:tc>
        <w:tc>
          <w:p>
            <w:pPr>
              <w:pStyle w:val="Compact"/>
              <w:jc w:val="right"/>
            </w:pPr>
            <w:r>
              <w:t xml:space="preserve">RF</w:t>
            </w:r>
          </w:p>
        </w:tc>
        <w:tc>
          <w:p>
            <w:pPr>
              <w:pStyle w:val="Compact"/>
              <w:jc w:val="right"/>
            </w:pPr>
            <w:r>
              <w:t xml:space="preserve">GB</w:t>
            </w:r>
          </w:p>
        </w:tc>
        <w:tc>
          <w:p>
            <w:pPr>
              <w:pStyle w:val="Compact"/>
              <w:jc w:val="right"/>
            </w:pPr>
            <w:r>
              <w:t xml:space="preserve">XGB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Psychiatric history</w:t>
            </w:r>
          </w:p>
        </w:tc>
        <w:tc>
          <w:p>
            <w:pPr>
              <w:pStyle w:val="Compact"/>
              <w:jc w:val="right"/>
            </w:pPr>
            <w:r>
              <w:t xml:space="preserve">−0.028</w:t>
            </w:r>
          </w:p>
        </w:tc>
        <w:tc>
          <w:p>
            <w:pPr>
              <w:pStyle w:val="Compact"/>
              <w:jc w:val="right"/>
            </w:pPr>
            <w:r>
              <w:t xml:space="preserve">−0.027</w:t>
            </w:r>
          </w:p>
        </w:tc>
        <w:tc>
          <w:p>
            <w:pPr>
              <w:pStyle w:val="Compact"/>
              <w:jc w:val="right"/>
            </w:pPr>
            <w:r>
              <w:t xml:space="preserve">−0.024</w:t>
            </w:r>
          </w:p>
        </w:tc>
        <w:tc>
          <w:p>
            <w:pPr>
              <w:pStyle w:val="Compact"/>
              <w:jc w:val="right"/>
            </w:pPr>
            <w:r>
              <w:t xml:space="preserve">−0.027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Medication burden</w:t>
            </w:r>
          </w:p>
        </w:tc>
        <w:tc>
          <w:p>
            <w:pPr>
              <w:pStyle w:val="Compact"/>
              <w:jc w:val="right"/>
            </w:pPr>
            <w:r>
              <w:t xml:space="preserve">−0.027</w:t>
            </w:r>
          </w:p>
        </w:tc>
        <w:tc>
          <w:p>
            <w:pPr>
              <w:pStyle w:val="Compact"/>
              <w:jc w:val="right"/>
            </w:pPr>
            <w:r>
              <w:t xml:space="preserve">−0.003</w:t>
            </w:r>
          </w:p>
        </w:tc>
        <w:tc>
          <w:p>
            <w:pPr>
              <w:pStyle w:val="Compact"/>
              <w:jc w:val="right"/>
            </w:pPr>
            <w:r>
              <w:t xml:space="preserve">−0.014</w:t>
            </w:r>
          </w:p>
        </w:tc>
        <w:tc>
          <w:p>
            <w:pPr>
              <w:pStyle w:val="Compact"/>
              <w:jc w:val="right"/>
            </w:pPr>
            <w:r>
              <w:t xml:space="preserve">−0.017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Treatment exposure</w:t>
            </w:r>
          </w:p>
        </w:tc>
        <w:tc>
          <w:p>
            <w:pPr>
              <w:pStyle w:val="Compact"/>
              <w:jc w:val="right"/>
            </w:pPr>
            <w:r>
              <w:t xml:space="preserve">−0.019</w:t>
            </w:r>
          </w:p>
        </w:tc>
        <w:tc>
          <w:p>
            <w:pPr>
              <w:pStyle w:val="Compact"/>
              <w:jc w:val="right"/>
            </w:pPr>
            <w:r>
              <w:t xml:space="preserve">+0.000</w:t>
            </w:r>
          </w:p>
        </w:tc>
        <w:tc>
          <w:p>
            <w:pPr>
              <w:pStyle w:val="Compact"/>
              <w:jc w:val="right"/>
            </w:pPr>
            <w:r>
              <w:t xml:space="preserve">−0.006</w:t>
            </w:r>
          </w:p>
        </w:tc>
        <w:tc>
          <w:p>
            <w:pPr>
              <w:pStyle w:val="Compact"/>
              <w:jc w:val="right"/>
            </w:pPr>
            <w:r>
              <w:t xml:space="preserve">−0.011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Treatment contraindications</w:t>
            </w:r>
          </w:p>
        </w:tc>
        <w:tc>
          <w:p>
            <w:pPr>
              <w:pStyle w:val="Compact"/>
              <w:jc w:val="right"/>
            </w:pPr>
            <w:r>
              <w:t xml:space="preserve">−0.002</w:t>
            </w:r>
          </w:p>
        </w:tc>
        <w:tc>
          <w:p>
            <w:pPr>
              <w:pStyle w:val="Compact"/>
              <w:jc w:val="right"/>
            </w:pPr>
            <w:r>
              <w:t xml:space="preserve">+0.001</w:t>
            </w:r>
          </w:p>
        </w:tc>
        <w:tc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p>
            <w:pPr>
              <w:pStyle w:val="Compact"/>
              <w:jc w:val="right"/>
            </w:pPr>
            <w:r>
              <w:t xml:space="preserve">−0.005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Social determinants (SDOH)</w:t>
            </w:r>
          </w:p>
        </w:tc>
        <w:tc>
          <w:p>
            <w:pPr>
              <w:pStyle w:val="Compact"/>
              <w:jc w:val="right"/>
            </w:pPr>
            <w:r>
              <w:t xml:space="preserve">−0.000</w:t>
            </w:r>
          </w:p>
        </w:tc>
        <w:tc>
          <w:p>
            <w:pPr>
              <w:pStyle w:val="Compact"/>
              <w:jc w:val="right"/>
            </w:pPr>
            <w:r>
              <w:t xml:space="preserve">+0.000</w:t>
            </w:r>
          </w:p>
        </w:tc>
        <w:tc>
          <w:p>
            <w:pPr>
              <w:pStyle w:val="Compact"/>
              <w:jc w:val="right"/>
            </w:pPr>
            <w:r>
              <w:t xml:space="preserve">+0.000</w:t>
            </w:r>
          </w:p>
        </w:tc>
        <w:tc>
          <w:p>
            <w:pPr>
              <w:pStyle w:val="Compact"/>
              <w:jc w:val="right"/>
            </w:pPr>
            <w:r>
              <w:t xml:space="preserve">+0.001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Race/ethnicity</w:t>
            </w:r>
          </w:p>
        </w:tc>
        <w:tc>
          <w:p>
            <w:pPr>
              <w:pStyle w:val="Compact"/>
              <w:jc w:val="right"/>
            </w:pPr>
            <w:r>
              <w:t xml:space="preserve">−0.000</w:t>
            </w:r>
          </w:p>
        </w:tc>
        <w:tc>
          <w:p>
            <w:pPr>
              <w:pStyle w:val="Compact"/>
              <w:jc w:val="right"/>
            </w:pPr>
            <w:r>
              <w:t xml:space="preserve">+0.000</w:t>
            </w:r>
          </w:p>
        </w:tc>
        <w:tc>
          <w:p>
            <w:pPr>
              <w:pStyle w:val="Compact"/>
              <w:jc w:val="right"/>
            </w:pPr>
            <w:r>
              <w:t xml:space="preserve">−0.003</w:t>
            </w:r>
          </w:p>
        </w:tc>
        <w:tc>
          <w:p>
            <w:pPr>
              <w:pStyle w:val="Compact"/>
              <w:jc w:val="right"/>
            </w:pPr>
            <w:r>
              <w:t xml:space="preserve">−0.000</w:t>
            </w:r>
          </w:p>
        </w:tc>
      </w:tr>
    </w:tbl>
    <w:p>
      <w:pPr>
        <w:pStyle w:val="BodyText"/>
      </w:pPr>
      <w:r>
        <w:drawing>
          <wp:inline>
            <wp:extent cx="5486400" cy="405993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ablation_roc_ci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059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8.</w:t>
      </w:r>
      <w:r>
        <w:rPr>
          <w:iCs/>
          <w:i/>
        </w:rPr>
        <w:t xml:space="preserve"> </w:t>
      </w:r>
      <w:r>
        <w:rPr>
          <w:iCs/>
          <w:i/>
        </w:rPr>
        <w:t xml:space="preserve">Semantic-feature ablation, absolute-discrimination view</w:t>
      </w:r>
      <w:r>
        <w:rPr>
          <w:iCs/>
          <w:i/>
        </w:rPr>
        <w:t xml:space="preserve"> </w:t>
      </w:r>
      <w:r>
        <w:rPr>
          <w:iCs/>
          <w:i/>
        </w:rPr>
        <w:t xml:space="preserve">(embedded representation, primary Qwen3-Embedding-8B encoder). Each row</w:t>
      </w:r>
      <w:r>
        <w:rPr>
          <w:iCs/>
          <w:i/>
        </w:rPr>
        <w:t xml:space="preserve"> </w:t>
      </w:r>
      <w:r>
        <w:rPr>
          <w:iCs/>
          <w:i/>
        </w:rPr>
        <w:t xml:space="preserve">is a run: the unablated baseline on top, then the six permutation</w:t>
      </w:r>
      <w:r>
        <w:rPr>
          <w:iCs/>
          <w:i/>
        </w:rPr>
        <w:t xml:space="preserve"> </w:t>
      </w:r>
      <w:r>
        <w:rPr>
          <w:iCs/>
          <w:i/>
        </w:rPr>
        <w:t xml:space="preserve">specifications ordered by descending logistic-regression ROC AUC drop, the</w:t>
      </w:r>
      <w:r>
        <w:rPr>
          <w:iCs/>
          <w:i/>
        </w:rPr>
        <w:t xml:space="preserve"> </w:t>
      </w:r>
      <w:r>
        <w:rPr>
          <w:iCs/>
          <w:i/>
        </w:rPr>
        <w:t xml:space="preserve">same ordering reused across panels. There is one panel per classifier,</w:t>
      </w:r>
      <w:r>
        <w:rPr>
          <w:iCs/>
          <w:i/>
        </w:rPr>
        <w:t xml:space="preserve"> </w:t>
      </w:r>
      <w:r>
        <w:rPr>
          <w:iCs/>
          <w:i/>
        </w:rPr>
        <w:t xml:space="preserve">arranged two by two on a shared ROC AUC axis, with a reference line at the</w:t>
      </w:r>
      <w:r>
        <w:rPr>
          <w:iCs/>
          <w:i/>
        </w:rPr>
        <w:t xml:space="preserve"> </w:t>
      </w:r>
      <w:r>
        <w:rPr>
          <w:iCs/>
          <w:i/>
        </w:rPr>
        <w:t xml:space="preserve">baseline ROC AUC. Permuting psychiatric history, medication burden and</w:t>
      </w:r>
      <w:r>
        <w:rPr>
          <w:iCs/>
          <w:i/>
        </w:rPr>
        <w:t xml:space="preserve"> </w:t>
      </w:r>
      <w:r>
        <w:rPr>
          <w:iCs/>
          <w:i/>
        </w:rPr>
        <w:t xml:space="preserve">treatment exposure produces the largest discrimination loss, whereas the</w:t>
      </w:r>
      <w:r>
        <w:rPr>
          <w:iCs/>
          <w:i/>
        </w:rPr>
        <w:t xml:space="preserve"> </w:t>
      </w:r>
      <w:r>
        <w:rPr>
          <w:iCs/>
          <w:i/>
        </w:rPr>
        <w:t xml:space="preserve">remaining three concepts move ROC AUC comparatively little (deltas in</w:t>
      </w:r>
      <w:r>
        <w:rPr>
          <w:iCs/>
          <w:i/>
        </w:rPr>
        <w:t xml:space="preserve"> </w:t>
      </w:r>
      <w:r>
        <w:rPr>
          <w:iCs/>
          <w:i/>
        </w:rPr>
        <w:t xml:space="preserve">Table 4).</w:t>
      </w:r>
    </w:p>
    <w:bookmarkEnd w:id="38"/>
    <w:bookmarkStart w:id="40" w:name="robustness-across-encoders"/>
    <w:p>
      <w:pPr>
        <w:pStyle w:val="Heading2"/>
      </w:pPr>
      <w:r>
        <w:t xml:space="preserve">Robustness across encoders</w:t>
      </w:r>
    </w:p>
    <w:p>
      <w:pPr>
        <w:pStyle w:val="FirstParagraph"/>
      </w:pPr>
      <w:r>
        <w:t xml:space="preserve">The comparison did not depend on which encoder produced the embedding.</w:t>
      </w:r>
      <w:r>
        <w:t xml:space="preserve"> </w:t>
      </w:r>
      <w:r>
        <w:t xml:space="preserve">Across the four encoders the embedded logistic-regression model occupied</w:t>
      </w:r>
      <w:r>
        <w:t xml:space="preserve"> </w:t>
      </w:r>
      <w:r>
        <w:t xml:space="preserve">a 0.012-wide discrimination band (ROC AUC 0.645–0.657, Table 5 and</w:t>
      </w:r>
      <w:r>
        <w:t xml:space="preserve"> </w:t>
      </w:r>
      <w:r>
        <w:t xml:space="preserve">Figure 9A). Qwen3-Embedding-8B was highest (0.657, 95% CI 0.643–0.672),</w:t>
      </w:r>
      <w:r>
        <w:t xml:space="preserve"> </w:t>
      </w:r>
      <w:r>
        <w:t xml:space="preserve">with bge-en-icl and Qwen3-Embedding-4B tied just behind (both 0.655) and</w:t>
      </w:r>
      <w:r>
        <w:t xml:space="preserve"> </w:t>
      </w:r>
      <w:r>
        <w:t xml:space="preserve">bge-small-en-v1.5 lowest (0.645). Logistic regression was the</w:t>
      </w:r>
      <w:r>
        <w:t xml:space="preserve"> </w:t>
      </w:r>
      <w:r>
        <w:t xml:space="preserve">best-discriminating classifier on the embedded representation for every</w:t>
      </w:r>
      <w:r>
        <w:t xml:space="preserve"> </w:t>
      </w:r>
      <w:r>
        <w:t xml:space="preserve">encoder. Only bge-small-en-v1.5 scored below the best feature-vector</w:t>
      </w:r>
      <w:r>
        <w:t xml:space="preserve"> </w:t>
      </w:r>
      <w:r>
        <w:t xml:space="preserve">model. The other three scored just above it, and all four fall inside</w:t>
      </w:r>
      <w:r>
        <w:t xml:space="preserve"> </w:t>
      </w:r>
      <w:r>
        <w:t xml:space="preserve">that same band, which is narrower than every confidence interval in</w:t>
      </w:r>
      <w:r>
        <w:t xml:space="preserve"> </w:t>
      </w:r>
      <w:r>
        <w:t xml:space="preserve">Table 2. The choice of encoder therefore does not change</w:t>
      </w:r>
      <w:r>
        <w:t xml:space="preserve"> </w:t>
      </w:r>
      <w:r>
        <w:t xml:space="preserve">what Table 2 shows.</w:t>
      </w:r>
    </w:p>
    <w:p>
      <w:pPr>
        <w:pStyle w:val="BodyText"/>
      </w:pPr>
      <w:r>
        <w:t xml:space="preserve">The ablation also reproduced across encoders (Figure 9B). Psychiatric</w:t>
      </w:r>
      <w:r>
        <w:t xml:space="preserve"> </w:t>
      </w:r>
      <w:r>
        <w:t xml:space="preserve">history and medication burden cost the most on all four, −0.027 to</w:t>
      </w:r>
      <w:r>
        <w:t xml:space="preserve"> </w:t>
      </w:r>
      <w:r>
        <w:t xml:space="preserve">−0.030 and −0.022 to −0.034 respectively. Every one of those intervals</w:t>
      </w:r>
      <w:r>
        <w:t xml:space="preserve"> </w:t>
      </w:r>
      <w:r>
        <w:t xml:space="preserve">excluded zero. The two sociodemographic permutations moved ROC AUC</w:t>
      </w:r>
      <w:r>
        <w:t xml:space="preserve"> </w:t>
      </w:r>
      <w:r>
        <w:t xml:space="preserve">little. The order of the two largest concepts held everywhere except in</w:t>
      </w:r>
      <w:r>
        <w:t xml:space="preserve"> </w:t>
      </w:r>
      <w:r>
        <w:t xml:space="preserve">bge-en-icl, where medication burden cost more than psychiatric history,</w:t>
      </w:r>
      <w:r>
        <w:t xml:space="preserve"> </w:t>
      </w:r>
      <w:r>
        <w:t xml:space="preserve">and it did so for all four classifiers there (embedded logistic</w:t>
      </w:r>
      <w:r>
        <w:t xml:space="preserve"> </w:t>
      </w:r>
      <w:r>
        <w:t xml:space="preserve">regression −0.034 versus −0.027).</w:t>
      </w:r>
    </w:p>
    <w:p>
      <w:pPr>
        <w:pStyle w:val="BodyText"/>
      </w:pPr>
      <w:r>
        <w:rPr>
          <w:bCs/>
          <w:b/>
          <w:iCs/>
          <w:i/>
        </w:rPr>
        <w:t xml:space="preserve">Table 5.</w:t>
      </w:r>
      <w:r>
        <w:rPr>
          <w:iCs/>
          <w:i/>
        </w:rPr>
        <w:t xml:space="preserve"> </w:t>
      </w:r>
      <w:r>
        <w:rPr>
          <w:iCs/>
          <w:i/>
        </w:rPr>
        <w:t xml:space="preserve">Embedded logistic-regression discrimination by encoder</w:t>
      </w:r>
      <w:r>
        <w:rPr>
          <w:iCs/>
          <w:i/>
        </w:rPr>
        <w:t xml:space="preserve"> </w:t>
      </w:r>
      <w:r>
        <w:rPr>
          <w:iCs/>
          <w:i/>
        </w:rPr>
        <w:t xml:space="preserve">(held-out test set). 95% CIs are bootstrap percentile intervals.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Dimensions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is the encoder’s output dimensionality, which is also the</w:t>
      </w:r>
      <w:r>
        <w:rPr>
          <w:iCs/>
          <w:i/>
        </w:rPr>
        <w:t xml:space="preserve"> </w:t>
      </w:r>
      <w:r>
        <w:rPr>
          <w:iCs/>
          <w:i/>
        </w:rPr>
        <w:t xml:space="preserve">number of predictor columns the classifier receives; EPV is events per</w:t>
      </w:r>
      <w:r>
        <w:rPr>
          <w:iCs/>
          <w:i/>
        </w:rPr>
        <w:t xml:space="preserve"> </w:t>
      </w:r>
      <w:r>
        <w:rPr>
          <w:iCs/>
          <w:i/>
        </w:rPr>
        <w:t xml:space="preserve">variable, 5,964 TRD-positive training patients divided by that column</w:t>
      </w:r>
      <w:r>
        <w:rPr>
          <w:iCs/>
          <w:i/>
        </w:rPr>
        <w:t xml:space="preserve"> </w:t>
      </w:r>
      <w:r>
        <w:rPr>
          <w:iCs/>
          <w:i/>
        </w:rPr>
        <w:t xml:space="preserve">count (Supplement M7). Note that EPV runs opposite to discrimination: the</w:t>
      </w:r>
      <w:r>
        <w:rPr>
          <w:iCs/>
          <w:i/>
        </w:rPr>
        <w:t xml:space="preserve"> </w:t>
      </w:r>
      <w:r>
        <w:rPr>
          <w:iCs/>
          <w:i/>
        </w:rPr>
        <w:t xml:space="preserve">encoder with the most favorable EPV is the least discriminating.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Encoder</w:t>
            </w:r>
          </w:p>
        </w:tc>
        <w:tc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p>
            <w:pPr>
              <w:pStyle w:val="Compact"/>
              <w:jc w:val="right"/>
            </w:pPr>
            <w:r>
              <w:t xml:space="preserve">EPV</w:t>
            </w:r>
          </w:p>
        </w:tc>
        <w:tc>
          <w:p>
            <w:pPr>
              <w:pStyle w:val="Compact"/>
              <w:jc w:val="center"/>
            </w:pPr>
            <w:r>
              <w:t xml:space="preserve">ROC AUC (95% CI)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bge-small-en-v1.5</w:t>
            </w:r>
          </w:p>
        </w:tc>
        <w:tc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p>
            <w:pPr>
              <w:pStyle w:val="Compact"/>
              <w:jc w:val="center"/>
            </w:pPr>
            <w:r>
              <w:t xml:space="preserve">0.645 (0.629–0.660)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bge-en-icl</w:t>
            </w:r>
          </w:p>
        </w:tc>
        <w:tc>
          <w:p>
            <w:pPr>
              <w:pStyle w:val="Compact"/>
              <w:jc w:val="right"/>
            </w:pPr>
            <w:r>
              <w:t xml:space="preserve">4,096</w:t>
            </w:r>
          </w:p>
        </w:tc>
        <w:tc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p>
            <w:pPr>
              <w:pStyle w:val="Compact"/>
              <w:jc w:val="center"/>
            </w:pPr>
            <w:r>
              <w:t xml:space="preserve">0.655 (0.641–0.670)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Qwen3-Embedding-4B</w:t>
            </w:r>
          </w:p>
        </w:tc>
        <w:tc>
          <w:p>
            <w:pPr>
              <w:pStyle w:val="Compact"/>
              <w:jc w:val="right"/>
            </w:pPr>
            <w:r>
              <w:t xml:space="preserve">2,560</w:t>
            </w:r>
          </w:p>
        </w:tc>
        <w:tc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p>
            <w:pPr>
              <w:pStyle w:val="Compact"/>
              <w:jc w:val="center"/>
            </w:pPr>
            <w:r>
              <w:t xml:space="preserve">0.655 (0.641–0.670)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Qwen3-Embedding-8B</w:t>
            </w:r>
          </w:p>
        </w:tc>
        <w:tc>
          <w:p>
            <w:pPr>
              <w:pStyle w:val="Compact"/>
              <w:jc w:val="right"/>
            </w:pPr>
            <w:r>
              <w:t xml:space="preserve">4,096</w:t>
            </w:r>
          </w:p>
        </w:tc>
        <w:tc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p>
            <w:pPr>
              <w:pStyle w:val="Compact"/>
              <w:jc w:val="center"/>
            </w:pPr>
            <w:r>
              <w:t xml:space="preserve">0.657 (0.643–0.672)</w:t>
            </w:r>
          </w:p>
        </w:tc>
      </w:tr>
    </w:tbl>
    <w:p>
      <w:pPr>
        <w:pStyle w:val="BodyText"/>
      </w:pPr>
      <w:r>
        <w:drawing>
          <wp:inline>
            <wp:extent cx="5486400" cy="299258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cross_embedder_robustness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9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9.</w:t>
      </w:r>
      <w:r>
        <w:rPr>
          <w:iCs/>
          <w:i/>
        </w:rPr>
        <w:t xml:space="preserve"> </w:t>
      </w:r>
      <w:r>
        <w:rPr>
          <w:iCs/>
          <w:i/>
        </w:rPr>
        <w:t xml:space="preserve">Cross-embedder robustness: embedded logistic-regression</w:t>
      </w:r>
      <w:r>
        <w:rPr>
          <w:iCs/>
          <w:i/>
        </w:rPr>
        <w:t xml:space="preserve"> </w:t>
      </w:r>
      <w:r>
        <w:rPr>
          <w:iCs/>
          <w:i/>
        </w:rPr>
        <w:t xml:space="preserve">ROC AUC (A) and the two largest semantic-feature ablation deltas</w:t>
      </w:r>
      <w:r>
        <w:rPr>
          <w:iCs/>
          <w:i/>
        </w:rPr>
        <w:t xml:space="preserve"> </w:t>
      </w:r>
      <w:r>
        <w:rPr>
          <w:iCs/>
          <w:i/>
        </w:rPr>
        <w:t xml:space="preserve">(psychiatric history, medication burden; B) across all four encoders</w:t>
      </w:r>
      <w:r>
        <w:rPr>
          <w:iCs/>
          <w:i/>
        </w:rPr>
        <w:t xml:space="preserve"> </w:t>
      </w:r>
      <w:r>
        <w:rPr>
          <w:iCs/>
          <w:i/>
        </w:rPr>
        <w:t xml:space="preserve">(bge-small-en-v1.5, bge-en-icl, Qwen3-Embedding-4B, Qwen3-Embedding-8B),</w:t>
      </w:r>
      <w:r>
        <w:rPr>
          <w:iCs/>
          <w:i/>
        </w:rPr>
        <w:t xml:space="preserve"> </w:t>
      </w:r>
      <w:r>
        <w:rPr>
          <w:iCs/>
          <w:i/>
        </w:rPr>
        <w:t xml:space="preserve">demonstrating that the principal conclusions hold beyond the</w:t>
      </w:r>
      <w:r>
        <w:rPr>
          <w:iCs/>
          <w:i/>
        </w:rPr>
        <w:t xml:space="preserve"> </w:t>
      </w:r>
      <w:r>
        <w:rPr>
          <w:iCs/>
          <w:i/>
        </w:rPr>
        <w:t xml:space="preserve">Qwen3-Embedding-8B encoder. Error bars are bootstrap (A) and</w:t>
      </w:r>
      <w:r>
        <w:rPr>
          <w:iCs/>
          <w:i/>
        </w:rPr>
        <w:t xml:space="preserve"> </w:t>
      </w:r>
      <w:r>
        <w:rPr>
          <w:iCs/>
          <w:i/>
        </w:rPr>
        <w:t xml:space="preserve">paired-bootstrap (B) 95% confidence intervals.</w:t>
      </w:r>
    </w:p>
    <w:bookmarkEnd w:id="40"/>
    <w:bookmarkStart w:id="43" w:name="prediction-from-retrieved-neighbors"/>
    <w:p>
      <w:pPr>
        <w:pStyle w:val="Heading2"/>
      </w:pPr>
      <w:r>
        <w:t xml:space="preserve">Prediction from retrieved neighbors</w:t>
      </w:r>
    </w:p>
    <w:p>
      <w:pPr>
        <w:pStyle w:val="FirstParagraph"/>
      </w:pPr>
      <w:r>
        <w:t xml:space="preserve">Retrieval recovered real signal from the embedding geometry. Retrieving</w:t>
      </w:r>
      <w:r>
        <w:t xml:space="preserve"> </w:t>
      </w:r>
      <w:r>
        <w:t xml:space="preserve">the nearest neighbors discriminated at ROC AUC 0.594 (95% CI</w:t>
      </w:r>
      <w:r>
        <w:t xml:space="preserve"> </w:t>
      </w:r>
      <w:r>
        <w:t xml:space="preserve">0.578–0.610) under cosine weighting. Random retrieval landed at chance</w:t>
      </w:r>
      <w:r>
        <w:t xml:space="preserve"> </w:t>
      </w:r>
      <w:r>
        <w:t xml:space="preserve">(0.499, 95% CI 0.483–0.515). A space in which a patient’s closest</w:t>
      </w:r>
      <w:r>
        <w:t xml:space="preserve"> </w:t>
      </w:r>
      <w:r>
        <w:t xml:space="preserve">analogues predict the outcome and randomly drawn patients do not is a</w:t>
      </w:r>
      <w:r>
        <w:t xml:space="preserve"> </w:t>
      </w:r>
      <w:r>
        <w:t xml:space="preserve">space that carries label information.</w:t>
      </w:r>
    </w:p>
    <w:p>
      <w:pPr>
        <w:pStyle w:val="BodyText"/>
      </w:pPr>
      <w:r>
        <w:t xml:space="preserve">How neighbors were weighted mattered far less than which neighbors were</w:t>
      </w:r>
      <w:r>
        <w:t xml:space="preserve"> </w:t>
      </w:r>
      <w:r>
        <w:t xml:space="preserve">retrieved. Uniform and cosine weighting differed by at most 0.005 ROC</w:t>
      </w:r>
      <w:r>
        <w:t xml:space="preserve"> </w:t>
      </w:r>
      <w:r>
        <w:t xml:space="preserve">AUC within either retrieval scheme, against the gap from 0.594 to 0.499</w:t>
      </w:r>
      <w:r>
        <w:t xml:space="preserve"> </w:t>
      </w:r>
      <w:r>
        <w:t xml:space="preserve">between nearest and random retrieval (Table 6). Once the 50 retrieved</w:t>
      </w:r>
      <w:r>
        <w:t xml:space="preserve"> </w:t>
      </w:r>
      <w:r>
        <w:t xml:space="preserve">patients are already the most similar available, adjusting their</w:t>
      </w:r>
      <w:r>
        <w:t xml:space="preserve"> </w:t>
      </w:r>
      <w:r>
        <w:t xml:space="preserve">relative contributions has almost nothing left to do.</w:t>
      </w:r>
    </w:p>
    <w:p>
      <w:pPr>
        <w:pStyle w:val="BodyText"/>
      </w:pPr>
      <w:r>
        <w:t xml:space="preserve">Retrieval nevertheless lost decisively to a model fitted on the same</w:t>
      </w:r>
      <w:r>
        <w:t xml:space="preserve"> </w:t>
      </w:r>
      <w:r>
        <w:t xml:space="preserve">embedding. The best retrieval configuration reached 0.594 (0.578–0.610)</w:t>
      </w:r>
      <w:r>
        <w:t xml:space="preserve"> </w:t>
      </w:r>
      <w:r>
        <w:t xml:space="preserve">against 0.657 (0.643–0.672) for embedded logistic regression, a</w:t>
      </w:r>
      <w:r>
        <w:t xml:space="preserve"> </w:t>
      </w:r>
      <w:r>
        <w:t xml:space="preserve">shortfall of 0.063 ROC AUC on intervals that do not overlap. The</w:t>
      </w:r>
      <w:r>
        <w:t xml:space="preserve"> </w:t>
      </w:r>
      <w:r>
        <w:t xml:space="preserve">comparison is unpaired and therefore conservative, since both predictors</w:t>
      </w:r>
      <w:r>
        <w:t xml:space="preserve"> </w:t>
      </w:r>
      <w:r>
        <w:t xml:space="preserve">score the same held-out patients. Retrieval also fell below every one of</w:t>
      </w:r>
      <w:r>
        <w:t xml:space="preserve"> </w:t>
      </w:r>
      <w:r>
        <w:t xml:space="preserve">the eight trained configurations in Table 2, including the weakest of</w:t>
      </w:r>
      <w:r>
        <w:t xml:space="preserve"> </w:t>
      </w:r>
      <w:r>
        <w:t xml:space="preserve">them at 0.623.</w:t>
      </w:r>
    </w:p>
    <w:p>
      <w:pPr>
        <w:pStyle w:val="BodyText"/>
      </w:pPr>
      <w:r>
        <w:rPr>
          <w:bCs/>
          <w:b/>
          <w:iCs/>
          <w:i/>
        </w:rPr>
        <w:t xml:space="preserve">Table 6.</w:t>
      </w:r>
      <w:r>
        <w:rPr>
          <w:iCs/>
          <w:i/>
        </w:rPr>
        <w:t xml:space="preserve"> </w:t>
      </w:r>
      <w:r>
        <w:rPr>
          <w:iCs/>
          <w:i/>
        </w:rPr>
        <w:t xml:space="preserve">Neighbor-weighted ROC AUC by retrieval scheme and</w:t>
      </w:r>
      <w:r>
        <w:rPr>
          <w:iCs/>
          <w:i/>
        </w:rPr>
        <w:t xml:space="preserve"> </w:t>
      </w:r>
      <w:r>
        <w:rPr>
          <w:iCs/>
          <w:i/>
        </w:rPr>
        <w:t xml:space="preserve">weighting strategy (embedded representation, primary Qwen3-Embedding-8B</w:t>
      </w:r>
      <w:r>
        <w:rPr>
          <w:iCs/>
          <w:i/>
        </w:rPr>
        <w:t xml:space="preserve"> </w:t>
      </w:r>
      <w:r>
        <w:rPr>
          <w:iCs/>
          <w:i/>
        </w:rPr>
        <w:t xml:space="preserve">encoder, held-out test set; K = 50 neighbors). 95% CIs are bootstrap</w:t>
      </w:r>
      <w:r>
        <w:rPr>
          <w:iCs/>
          <w:i/>
        </w:rPr>
        <w:t xml:space="preserve"> </w:t>
      </w:r>
      <w:r>
        <w:rPr>
          <w:iCs/>
          <w:i/>
        </w:rPr>
        <w:t xml:space="preserve">percentile intervals. Random retrieval is the negative control. For</w:t>
      </w:r>
      <w:r>
        <w:rPr>
          <w:iCs/>
          <w:i/>
        </w:rPr>
        <w:t xml:space="preserve"> </w:t>
      </w:r>
      <w:r>
        <w:rPr>
          <w:iCs/>
          <w:i/>
        </w:rPr>
        <w:t xml:space="preserve">comparison, embedded logistic regression on the same representation and</w:t>
      </w:r>
      <w:r>
        <w:rPr>
          <w:iCs/>
          <w:i/>
        </w:rPr>
        <w:t xml:space="preserve"> </w:t>
      </w:r>
      <w:r>
        <w:rPr>
          <w:iCs/>
          <w:i/>
        </w:rPr>
        <w:t xml:space="preserve">the same patients reaches 0.657 (0.643–0.672).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Retrieval scheme</w:t>
            </w:r>
          </w:p>
        </w:tc>
        <w:tc>
          <w:p>
            <w:pPr>
              <w:pStyle w:val="Compact"/>
              <w:jc w:val="center"/>
            </w:pPr>
            <w:r>
              <w:t xml:space="preserve">Uniform (95% CI)</w:t>
            </w:r>
          </w:p>
        </w:tc>
        <w:tc>
          <w:p>
            <w:pPr>
              <w:pStyle w:val="Compact"/>
              <w:jc w:val="center"/>
            </w:pPr>
            <w:r>
              <w:t xml:space="preserve">Cosine (95% CI)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Nearest</w:t>
            </w:r>
          </w:p>
        </w:tc>
        <w:tc>
          <w:p>
            <w:pPr>
              <w:pStyle w:val="Compact"/>
              <w:jc w:val="center"/>
            </w:pPr>
            <w:r>
              <w:t xml:space="preserve">0.593 (0.578–0.609)</w:t>
            </w:r>
          </w:p>
        </w:tc>
        <w:tc>
          <w:p>
            <w:pPr>
              <w:pStyle w:val="Compact"/>
              <w:jc w:val="center"/>
            </w:pPr>
            <w:r>
              <w:t xml:space="preserve">0.594 (0.578–0.610)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p>
            <w:pPr>
              <w:pStyle w:val="Compact"/>
              <w:jc w:val="center"/>
            </w:pPr>
            <w:r>
              <w:t xml:space="preserve">0.495 (0.479–0.510)</w:t>
            </w:r>
          </w:p>
        </w:tc>
        <w:tc>
          <w:p>
            <w:pPr>
              <w:pStyle w:val="Compact"/>
              <w:jc w:val="center"/>
            </w:pPr>
            <w:r>
              <w:t xml:space="preserve">0.499 (0.483–0.515)</w:t>
            </w:r>
          </w:p>
        </w:tc>
      </w:tr>
    </w:tbl>
    <w:p>
      <w:pPr>
        <w:pStyle w:val="BodyText"/>
      </w:pPr>
      <w:r>
        <w:rPr>
          <w:bCs/>
          <w:b/>
        </w:rPr>
        <w:t xml:space="preserve">(A) Nearest retrieval</w:t>
      </w:r>
    </w:p>
    <w:p>
      <w:pPr>
        <w:pStyle w:val="BodyText"/>
      </w:pPr>
      <w:r>
        <w:drawing>
          <wp:inline>
            <wp:extent cx="5486400" cy="296265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roc_curves/roc_curve_NEAREST_COS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6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(B) Random retrieval</w:t>
      </w:r>
    </w:p>
    <w:p>
      <w:pPr>
        <w:pStyle w:val="BodyText"/>
      </w:pPr>
      <w:r>
        <w:drawing>
          <wp:inline>
            <wp:extent cx="5486400" cy="296265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roc_curves/roc_curve_RANDOM_COS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6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10.</w:t>
      </w:r>
      <w:r>
        <w:rPr>
          <w:iCs/>
          <w:i/>
        </w:rPr>
        <w:t xml:space="preserve"> </w:t>
      </w:r>
      <w:r>
        <w:rPr>
          <w:iCs/>
          <w:i/>
        </w:rPr>
        <w:t xml:space="preserve">Neighbor-weighted ROC for the cosine-weighted predictor on</w:t>
      </w:r>
      <w:r>
        <w:rPr>
          <w:iCs/>
          <w:i/>
        </w:rPr>
        <w:t xml:space="preserve"> </w:t>
      </w:r>
      <w:r>
        <w:rPr>
          <w:iCs/>
          <w:i/>
        </w:rPr>
        <w:t xml:space="preserve">the embedded representation (held-out test set, n = 8,516, K = 50;</w:t>
      </w:r>
      <w:r>
        <w:rPr>
          <w:iCs/>
          <w:i/>
        </w:rPr>
        <w:t xml:space="preserve"> </w:t>
      </w:r>
      <w:r>
        <w:rPr>
          <w:iCs/>
          <w:i/>
        </w:rPr>
        <w:t xml:space="preserve">primary Qwen3-Embedding-8B encoder). (A) Nearest retrieval;</w:t>
      </w:r>
      <w:r>
        <w:rPr>
          <w:iCs/>
          <w:i/>
        </w:rPr>
        <w:t xml:space="preserve"> </w:t>
      </w:r>
      <w:r>
        <w:rPr>
          <w:iCs/>
          <w:i/>
        </w:rPr>
        <w:t xml:space="preserve">(B) random retrieval. The separation between the two panels is the</w:t>
      </w:r>
      <w:r>
        <w:rPr>
          <w:iCs/>
          <w:i/>
        </w:rPr>
        <w:t xml:space="preserve"> </w:t>
      </w:r>
      <w:r>
        <w:rPr>
          <w:iCs/>
          <w:i/>
        </w:rPr>
        <w:t xml:space="preserve">discriminative signal in the embedding geometry. Shaded bands are</w:t>
      </w:r>
      <w:r>
        <w:rPr>
          <w:iCs/>
          <w:i/>
        </w:rPr>
        <w:t xml:space="preserve"> </w:t>
      </w:r>
      <w:r>
        <w:rPr>
          <w:iCs/>
          <w:i/>
        </w:rPr>
        <w:t xml:space="preserve">bootstrap 95% confidence intervals and the dashed diagonal is chance.</w:t>
      </w:r>
      <w:r>
        <w:rPr>
          <w:iCs/>
          <w:i/>
        </w:rPr>
        <w:t xml:space="preserve"> </w:t>
      </w:r>
      <w:r>
        <w:rPr>
          <w:iCs/>
          <w:i/>
        </w:rPr>
        <w:t xml:space="preserve">The uniform weighting is in Table 6.</w:t>
      </w:r>
    </w:p>
    <w:p>
      <w:pPr>
        <w:pStyle w:val="BodyText"/>
      </w:pPr>
      <w:r>
        <w:t xml:space="preserve">Both halves of that result reproduced on every encoder (Table 7).</w:t>
      </w:r>
      <w:r>
        <w:t xml:space="preserve"> </w:t>
      </w:r>
      <w:r>
        <w:t xml:space="preserve">Nearest retrieval beat random retrieval by 0.083 to 0.095 ROC AUC on all</w:t>
      </w:r>
      <w:r>
        <w:t xml:space="preserve"> </w:t>
      </w:r>
      <w:r>
        <w:t xml:space="preserve">four, and on all four it fell short of that encoder’s own trained</w:t>
      </w:r>
      <w:r>
        <w:t xml:space="preserve"> </w:t>
      </w:r>
      <w:r>
        <w:t xml:space="preserve">logistic regression by 0.061 to 0.065. The gap between retrieval and a</w:t>
      </w:r>
      <w:r>
        <w:t xml:space="preserve"> </w:t>
      </w:r>
      <w:r>
        <w:t xml:space="preserve">fitted model is therefore a property of the approach rather than of the</w:t>
      </w:r>
      <w:r>
        <w:t xml:space="preserve"> </w:t>
      </w:r>
      <w:r>
        <w:t xml:space="preserve">primary encoder.</w:t>
      </w:r>
    </w:p>
    <w:p>
      <w:pPr>
        <w:pStyle w:val="BodyText"/>
      </w:pPr>
      <w:r>
        <w:rPr>
          <w:bCs/>
          <w:b/>
          <w:iCs/>
          <w:i/>
        </w:rPr>
        <w:t xml:space="preserve">Table 7.</w:t>
      </w:r>
      <w:r>
        <w:rPr>
          <w:iCs/>
          <w:i/>
        </w:rPr>
        <w:t xml:space="preserve"> </w:t>
      </w:r>
      <w:r>
        <w:rPr>
          <w:iCs/>
          <w:i/>
        </w:rPr>
        <w:t xml:space="preserve">Neighbor-weighted retrieval against embedded logistic</w:t>
      </w:r>
      <w:r>
        <w:rPr>
          <w:iCs/>
          <w:i/>
        </w:rPr>
        <w:t xml:space="preserve"> </w:t>
      </w:r>
      <w:r>
        <w:rPr>
          <w:iCs/>
          <w:i/>
        </w:rPr>
        <w:t xml:space="preserve">regression, by encoder (cosine weighting, K = 50, held-out test set).</w:t>
      </w:r>
      <w:r>
        <w:rPr>
          <w:iCs/>
          <w:i/>
        </w:rPr>
        <w:t xml:space="preserve"> </w:t>
      </w:r>
      <w:r>
        <w:rPr>
          <w:iCs/>
          <w:i/>
        </w:rPr>
        <w:t xml:space="preserve">95% CIs are bootstrap percentile intervals. Random retrieval is the</w:t>
      </w:r>
      <w:r>
        <w:rPr>
          <w:iCs/>
          <w:i/>
        </w:rPr>
        <w:t xml:space="preserve"> </w:t>
      </w:r>
      <w:r>
        <w:rPr>
          <w:iCs/>
          <w:i/>
        </w:rPr>
        <w:t xml:space="preserve">negative control. The last column is that encoder’s own model from Table</w:t>
      </w:r>
      <w:r>
        <w:rPr>
          <w:iCs/>
          <w:i/>
        </w:rPr>
        <w:t xml:space="preserve"> </w:t>
      </w:r>
      <w:r>
        <w:rPr>
          <w:iCs/>
          <w:i/>
        </w:rPr>
        <w:t xml:space="preserve">5, scored on the same patients.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20"/>
        <w:gridCol w:w="2200"/>
        <w:gridCol w:w="2200"/>
        <w:gridCol w:w="2200"/>
      </w:tblGrid>
      <w:tr>
        <w:tc>
          <w:p>
            <w:pPr>
              <w:pStyle w:val="Compact"/>
              <w:jc w:val="left"/>
            </w:pPr>
            <w:r>
              <w:t xml:space="preserve">Encoder</w:t>
            </w:r>
          </w:p>
        </w:tc>
        <w:tc>
          <w:p>
            <w:pPr>
              <w:pStyle w:val="Compact"/>
              <w:jc w:val="center"/>
            </w:pPr>
            <w:r>
              <w:t xml:space="preserve">Nearest (95% CI)</w:t>
            </w:r>
          </w:p>
        </w:tc>
        <w:tc>
          <w:p>
            <w:pPr>
              <w:pStyle w:val="Compact"/>
              <w:jc w:val="center"/>
            </w:pPr>
            <w:r>
              <w:t xml:space="preserve">Random (95% CI)</w:t>
            </w:r>
          </w:p>
        </w:tc>
        <w:tc>
          <w:p>
            <w:pPr>
              <w:pStyle w:val="Compact"/>
              <w:jc w:val="center"/>
            </w:pPr>
            <w:r>
              <w:t xml:space="preserve">Embedded logistic regression (95% CI)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bge-small-en-v1.5</w:t>
            </w:r>
          </w:p>
        </w:tc>
        <w:tc>
          <w:p>
            <w:pPr>
              <w:pStyle w:val="Compact"/>
              <w:jc w:val="center"/>
            </w:pPr>
            <w:r>
              <w:t xml:space="preserve">0.580 (0.564–0.596)</w:t>
            </w:r>
          </w:p>
        </w:tc>
        <w:tc>
          <w:p>
            <w:pPr>
              <w:pStyle w:val="Compact"/>
              <w:jc w:val="center"/>
            </w:pPr>
            <w:r>
              <w:t xml:space="preserve">0.497 (0.482–0.513)</w:t>
            </w:r>
          </w:p>
        </w:tc>
        <w:tc>
          <w:p>
            <w:pPr>
              <w:pStyle w:val="Compact"/>
              <w:jc w:val="center"/>
            </w:pPr>
            <w:r>
              <w:t xml:space="preserve">0.645 (0.629–0.660)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bge-en-icl</w:t>
            </w:r>
          </w:p>
        </w:tc>
        <w:tc>
          <w:p>
            <w:pPr>
              <w:pStyle w:val="Compact"/>
              <w:jc w:val="center"/>
            </w:pPr>
            <w:r>
              <w:t xml:space="preserve">0.592 (0.577–0.607)</w:t>
            </w:r>
          </w:p>
        </w:tc>
        <w:tc>
          <w:p>
            <w:pPr>
              <w:pStyle w:val="Compact"/>
              <w:jc w:val="center"/>
            </w:pPr>
            <w:r>
              <w:t xml:space="preserve">0.498 (0.482–0.515)</w:t>
            </w:r>
          </w:p>
        </w:tc>
        <w:tc>
          <w:p>
            <w:pPr>
              <w:pStyle w:val="Compact"/>
              <w:jc w:val="center"/>
            </w:pPr>
            <w:r>
              <w:t xml:space="preserve">0.655 (0.641–0.670)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Qwen3-Embedding-4B</w:t>
            </w:r>
          </w:p>
        </w:tc>
        <w:tc>
          <w:p>
            <w:pPr>
              <w:pStyle w:val="Compact"/>
              <w:jc w:val="center"/>
            </w:pPr>
            <w:r>
              <w:t xml:space="preserve">0.594 (0.579–0.611)</w:t>
            </w:r>
          </w:p>
        </w:tc>
        <w:tc>
          <w:p>
            <w:pPr>
              <w:pStyle w:val="Compact"/>
              <w:jc w:val="center"/>
            </w:pPr>
            <w:r>
              <w:t xml:space="preserve">0.500 (0.484–0.516)</w:t>
            </w:r>
          </w:p>
        </w:tc>
        <w:tc>
          <w:p>
            <w:pPr>
              <w:pStyle w:val="Compact"/>
              <w:jc w:val="center"/>
            </w:pPr>
            <w:r>
              <w:t xml:space="preserve">0.655 (0.641–0.670)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Qwen3-Embedding-8B</w:t>
            </w:r>
          </w:p>
        </w:tc>
        <w:tc>
          <w:p>
            <w:pPr>
              <w:pStyle w:val="Compact"/>
              <w:jc w:val="center"/>
            </w:pPr>
            <w:r>
              <w:t xml:space="preserve">0.594 (0.578–0.610)</w:t>
            </w:r>
          </w:p>
        </w:tc>
        <w:tc>
          <w:p>
            <w:pPr>
              <w:pStyle w:val="Compact"/>
              <w:jc w:val="center"/>
            </w:pPr>
            <w:r>
              <w:t xml:space="preserve">0.499 (0.483–0.515)</w:t>
            </w:r>
          </w:p>
        </w:tc>
        <w:tc>
          <w:p>
            <w:pPr>
              <w:pStyle w:val="Compact"/>
              <w:jc w:val="center"/>
            </w:pPr>
            <w:r>
              <w:t xml:space="preserve">0.657 (0.643–0.672)</w:t>
            </w:r>
          </w:p>
        </w:tc>
      </w:tr>
    </w:tbl>
    <w:bookmarkEnd w:id="43"/>
    <w:bookmarkStart w:id="48" w:name="validity-checks"/>
    <w:p>
      <w:pPr>
        <w:pStyle w:val="Heading2"/>
      </w:pPr>
      <w:r>
        <w:t xml:space="preserve">Validity checks</w:t>
      </w:r>
    </w:p>
    <w:p>
      <w:pPr>
        <w:pStyle w:val="FirstParagraph"/>
      </w:pPr>
      <w:r>
        <w:t xml:space="preserve">Three checks bear on both objectives, because an artifact in any of them</w:t>
      </w:r>
      <w:r>
        <w:t xml:space="preserve"> </w:t>
      </w:r>
      <w:r>
        <w:t xml:space="preserve">would undermine the comparison as much as the retrieval result. None of</w:t>
      </w:r>
      <w:r>
        <w:t xml:space="preserve"> </w:t>
      </w:r>
      <w:r>
        <w:t xml:space="preserve">the three found one.</w:t>
      </w:r>
    </w:p>
    <w:p>
      <w:pPr>
        <w:pStyle w:val="BodyText"/>
      </w:pPr>
      <w:r>
        <w:rPr>
          <w:bCs/>
          <w:b/>
        </w:rPr>
        <w:t xml:space="preserve">Train/test comparability.</w:t>
      </w:r>
      <w:r>
        <w:t xml:space="preserve"> </w:t>
      </w:r>
      <w:r>
        <w:t xml:space="preserve">The training and test sets were closely</w:t>
      </w:r>
      <w:r>
        <w:t xml:space="preserve"> </w:t>
      </w:r>
      <w:r>
        <w:t xml:space="preserve">matched on every predictor. Over 100 predictor rows the largest absolute</w:t>
      </w:r>
      <w:r>
        <w:t xml:space="preserve"> </w:t>
      </w:r>
      <w:r>
        <w:t xml:space="preserve">standardized mean difference was 0.036, none reached the conventional</w:t>
      </w:r>
      <w:r>
        <w:t xml:space="preserve"> </w:t>
      </w:r>
      <w:r>
        <w:t xml:space="preserve">0.1 threshold, and the maximum sat on a social-determinant flag recorded</w:t>
      </w:r>
      <w:r>
        <w:t xml:space="preserve"> </w:t>
      </w:r>
      <w:r>
        <w:t xml:space="preserve">for 22 training patients and no held-out patient. That is a small-cell</w:t>
      </w:r>
      <w:r>
        <w:t xml:space="preserve"> </w:t>
      </w:r>
      <w:r>
        <w:t xml:space="preserve">artifact rather than a distributional difference. No measured difference separates the evaluation sample from the</w:t>
      </w:r>
      <w:r>
        <w:t xml:space="preserve"> </w:t>
      </w:r>
      <w:r>
        <w:t xml:space="preserve">development sample, and neither is representative of a wider population,</w:t>
      </w:r>
      <w:r>
        <w:t xml:space="preserve"> </w:t>
      </w:r>
      <w:r>
        <w:t xml:space="preserve">because both halves inherit the extract’s case enrichment. Supplement S6</w:t>
      </w:r>
      <w:r>
        <w:t xml:space="preserve"> </w:t>
      </w:r>
      <w:r>
        <w:t xml:space="preserve">tabulates the distributions in the form of Table 1.</w:t>
      </w:r>
    </w:p>
    <w:p>
      <w:pPr>
        <w:pStyle w:val="BodyText"/>
      </w:pPr>
      <w:r>
        <w:rPr>
          <w:bCs/>
          <w:b/>
        </w:rPr>
        <w:t xml:space="preserve">Data volume did not act as a confound.</w:t>
      </w:r>
      <w:r>
        <w:t xml:space="preserve"> </w:t>
      </w:r>
      <w:r>
        <w:t xml:space="preserve">Patients with richer records</w:t>
      </w:r>
      <w:r>
        <w:t xml:space="preserve"> </w:t>
      </w:r>
      <w:r>
        <w:t xml:space="preserve">could appear higher-risk for reasons that have nothing to do with</w:t>
      </w:r>
      <w:r>
        <w:t xml:space="preserve"> </w:t>
      </w:r>
      <w:r>
        <w:t xml:space="preserve">depression, so we correlated the TRD label with three volume and recency</w:t>
      </w:r>
      <w:r>
        <w:t xml:space="preserve"> </w:t>
      </w:r>
      <w:r>
        <w:t xml:space="preserve">proxies on the full untruncated data. All three associations were weak</w:t>
      </w:r>
      <w:r>
        <w:t xml:space="preserve"> </w:t>
      </w:r>
      <w:r>
        <w:t xml:space="preserve">and negative: pre-index history length (Spearman ρ = −0.073), encounter</w:t>
      </w:r>
      <w:r>
        <w:t xml:space="preserve"> </w:t>
      </w:r>
      <w:r>
        <w:t xml:space="preserve">count (ρ = −0.064), and MDD-to-index gap (ρ = −0.029). TRD-positive patients did not simply have more data (Figure 11A–C), and</w:t>
      </w:r>
      <w:r>
        <w:t xml:space="preserve"> </w:t>
      </w:r>
      <w:r>
        <w:t xml:space="preserve">discrimination is flat across quintiles of pre-index history length,</w:t>
      </w:r>
      <w:r>
        <w:t xml:space="preserve"> </w:t>
      </w:r>
      <w:r>
        <w:t xml:space="preserve">which is the stronger form of the same test (Supplement S5). Most patients were prescribed an antidepressant on the day of their MDD</w:t>
      </w:r>
      <w:r>
        <w:t xml:space="preserve"> </w:t>
      </w:r>
      <w:r>
        <w:t xml:space="preserve">diagnosis (n = 27,906). Their TRD rate was 18.4% against 15.9% for the</w:t>
      </w:r>
      <w:r>
        <w:t xml:space="preserve"> </w:t>
      </w:r>
      <w:r>
        <w:t xml:space="preserve">14,673 with a delayed prescription, both near the 17.5% base rate</w:t>
      </w:r>
      <w:r>
        <w:t xml:space="preserve"> </w:t>
      </w:r>
      <w:r>
        <w:t xml:space="preserve">(Figure 11D).</w:t>
      </w:r>
    </w:p>
    <w:p>
      <w:pPr>
        <w:pStyle w:val="BodyText"/>
      </w:pPr>
      <w:r>
        <w:rPr>
          <w:bCs/>
          <w:b/>
        </w:rPr>
        <w:t xml:space="preserve">(A) Pre-index history length</w:t>
      </w:r>
    </w:p>
    <w:p>
      <w:pPr>
        <w:pStyle w:val="BodyText"/>
      </w:pPr>
      <w:r>
        <w:drawing>
          <wp:inline>
            <wp:extent cx="5486400" cy="313508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notebooks/figures/density_pre_anchor_history_day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(B) MDD-to-index gap</w:t>
      </w:r>
    </w:p>
    <w:p>
      <w:pPr>
        <w:pStyle w:val="BodyText"/>
      </w:pPr>
      <w:r>
        <w:drawing>
          <wp:inline>
            <wp:extent cx="5486400" cy="313508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notebooks/figures/density_mdd_to_anchor_day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(C) Encounter count</w:t>
      </w:r>
    </w:p>
    <w:p>
      <w:pPr>
        <w:pStyle w:val="BodyText"/>
      </w:pPr>
      <w:r>
        <w:drawing>
          <wp:inline>
            <wp:extent cx="5486400" cy="313508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notebooks/figures/density_num_encounter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(D) TRD rate, same-day vs delayed prescription</w:t>
      </w:r>
    </w:p>
    <w:p>
      <w:pPr>
        <w:pStyle w:val="BodyText"/>
      </w:pPr>
      <w:r>
        <w:drawing>
          <wp:inline>
            <wp:extent cx="5486400" cy="313508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notebooks/figures/trd_rate_by_delayed_mdd_to_anchor_day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11.</w:t>
      </w:r>
      <w:r>
        <w:rPr>
          <w:iCs/>
          <w:i/>
        </w:rPr>
        <w:t xml:space="preserve"> </w:t>
      </w:r>
      <w:r>
        <w:rPr>
          <w:iCs/>
          <w:i/>
        </w:rPr>
        <w:t xml:space="preserve">Volume and recency confound checks on the full untruncated</w:t>
      </w:r>
      <w:r>
        <w:rPr>
          <w:iCs/>
          <w:i/>
        </w:rPr>
        <w:t xml:space="preserve"> </w:t>
      </w:r>
      <w:r>
        <w:rPr>
          <w:iCs/>
          <w:i/>
        </w:rPr>
        <w:t xml:space="preserve">data. (A–C) TRD-stratified distributions of the three proxies: (A)</w:t>
      </w:r>
      <w:r>
        <w:rPr>
          <w:iCs/>
          <w:i/>
        </w:rPr>
        <w:t xml:space="preserve"> </w:t>
      </w:r>
      <w:r>
        <w:rPr>
          <w:iCs/>
          <w:i/>
        </w:rPr>
        <w:t xml:space="preserve">pre-index history length; (B) MDD-to-index gap; (C) encounter count.</w:t>
      </w:r>
      <w:r>
        <w:rPr>
          <w:iCs/>
          <w:i/>
        </w:rPr>
        <w:t xml:space="preserve"> </w:t>
      </w:r>
      <w:r>
        <w:rPr>
          <w:iCs/>
          <w:i/>
        </w:rPr>
        <w:t xml:space="preserve">(D) TRD rate among patients with a same-day versus delayed</w:t>
      </w:r>
      <w:r>
        <w:rPr>
          <w:iCs/>
          <w:i/>
        </w:rPr>
        <w:t xml:space="preserve"> </w:t>
      </w:r>
      <w:r>
        <w:rPr>
          <w:iCs/>
          <w:i/>
        </w:rPr>
        <w:t xml:space="preserve">MDD-to-antidepressant prescription (dashed line = 17.5% cohort base</w:t>
      </w:r>
      <w:r>
        <w:rPr>
          <w:iCs/>
          <w:i/>
        </w:rPr>
        <w:t xml:space="preserve"> </w:t>
      </w:r>
      <w:r>
        <w:rPr>
          <w:iCs/>
          <w:i/>
        </w:rPr>
        <w:t xml:space="preserve">rate; bar labels are group n).</w:t>
      </w:r>
    </w:p>
    <w:p>
      <w:pPr>
        <w:pStyle w:val="BodyText"/>
      </w:pPr>
      <w:r>
        <w:rPr>
          <w:bCs/>
          <w:b/>
        </w:rPr>
        <w:t xml:space="preserve">Subgroup performance.</w:t>
      </w:r>
      <w:r>
        <w:t xml:space="preserve"> </w:t>
      </w:r>
      <w:r>
        <w:t xml:space="preserve">Most of what separates subgroups here is how the depression is coded,</w:t>
      </w:r>
      <w:r>
        <w:t xml:space="preserve"> </w:t>
      </w:r>
      <w:r>
        <w:t xml:space="preserve">not who the patient is. The same models were scored again inside eight strata, with nothing</w:t>
      </w:r>
      <w:r>
        <w:t xml:space="preserve"> </w:t>
      </w:r>
      <w:r>
        <w:t xml:space="preserve">refit, giving 240 between-group contrasts across the three arms. At a conventional 5% threshold about twelve of those clear the bar by</w:t>
      </w:r>
      <w:r>
        <w:t xml:space="preserve"> </w:t>
      </w:r>
      <w:r>
        <w:t xml:space="preserve">chance alone, so P values were adjusted across the whole set by</w:t>
      </w:r>
      <w:r>
        <w:t xml:space="preserve"> </w:t>
      </w:r>
      <w:r>
        <w:t xml:space="preserve">Benjamini-Hochberg at a 5% false discovery rate. Fifty-eight contrasts exclude zero before that</w:t>
      </w:r>
      <w:r>
        <w:t xml:space="preserve"> </w:t>
      </w:r>
      <w:r>
        <w:t xml:space="preserve">adjustment and 24 survive it, 21 of them about MDD coding. Discrimination is higher where MDD is coded</w:t>
      </w:r>
      <w:r>
        <w:t xml:space="preserve"> </w:t>
      </w:r>
      <w:r>
        <w:t xml:space="preserve">recurrent or severe (+0.059 to +0.087 ROC AUC) and lower where it is</w:t>
      </w:r>
      <w:r>
        <w:t xml:space="preserve"> </w:t>
      </w:r>
      <w:r>
        <w:t xml:space="preserve">coded single-episode (−0.074 to −0.056), in all three arms. That is a</w:t>
      </w:r>
      <w:r>
        <w:t xml:space="preserve"> </w:t>
      </w:r>
      <w:r>
        <w:t xml:space="preserve">documentation effect as much as a phenotype one: the models do better</w:t>
      </w:r>
      <w:r>
        <w:t xml:space="preserve"> </w:t>
      </w:r>
      <w:r>
        <w:t xml:space="preserve">where the diagnosis is recorded specifically, and worse where it is left</w:t>
      </w:r>
      <w:r>
        <w:t xml:space="preserve"> </w:t>
      </w:r>
      <w:r>
        <w:t xml:space="preserve">unspecified, which is most of this cohort.</w:t>
      </w:r>
    </w:p>
    <w:p>
      <w:pPr>
        <w:pStyle w:val="BodyText"/>
      </w:pPr>
      <w:r>
        <w:t xml:space="preserve">The sociodemographic strata gave three surviving contrasts, and all</w:t>
      </w:r>
      <w:r>
        <w:t xml:space="preserve"> </w:t>
      </w:r>
      <w:r>
        <w:t xml:space="preserve">three are consistent with thinner records supporting weaker prediction.</w:t>
      </w:r>
      <w:r>
        <w:t xml:space="preserve"> </w:t>
      </w:r>
      <w:r>
        <w:t xml:space="preserve">Discrimination is lower for patients aged 18–29 in the feature-vector</w:t>
      </w:r>
      <w:r>
        <w:t xml:space="preserve"> </w:t>
      </w:r>
      <w:r>
        <w:t xml:space="preserve">arm (−0.068, adjusted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.04). It is also lower for never-married</w:t>
      </w:r>
      <w:r>
        <w:t xml:space="preserve"> </w:t>
      </w:r>
      <w:r>
        <w:t xml:space="preserve">patients in the embedded arm, where two of the four classifiers</w:t>
      </w:r>
      <w:r>
        <w:t xml:space="preserve"> </w:t>
      </w:r>
      <w:r>
        <w:t xml:space="preserve">survive, at −0.054 and −0.051 (adjusted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.01). No sex contrast</w:t>
      </w:r>
      <w:r>
        <w:t xml:space="preserve"> </w:t>
      </w:r>
      <w:r>
        <w:t xml:space="preserve">came close: all ten include zero and none exceeds 0.012 ROC AUC.</w:t>
      </w:r>
      <w:r>
        <w:t xml:space="preserve"> </w:t>
      </w:r>
      <w:r>
        <w:t xml:space="preserve">Preferred language was not analyzed, because 98.9% of the cohort prefers</w:t>
      </w:r>
      <w:r>
        <w:t xml:space="preserve"> </w:t>
      </w:r>
      <w:r>
        <w:t xml:space="preserve">English.</w:t>
      </w:r>
    </w:p>
    <w:p>
      <w:pPr>
        <w:pStyle w:val="BodyText"/>
      </w:pPr>
      <w:r>
        <w:t xml:space="preserve">The data neither establish nor rule out a race-associated performance</w:t>
      </w:r>
      <w:r>
        <w:t xml:space="preserve"> </w:t>
      </w:r>
      <w:r>
        <w:t xml:space="preserve">gap. All ten White-minus-non-White contrasts are positive</w:t>
      </w:r>
      <w:r>
        <w:t xml:space="preserve"> </w:t>
      </w:r>
      <w:r>
        <w:t xml:space="preserve">(+0.005 to +0.053) and five exclude zero before adjustment, but none</w:t>
      </w:r>
      <w:r>
        <w:t xml:space="preserve"> </w:t>
      </w:r>
      <w:r>
        <w:t xml:space="preserve">survives it (smallest adjusted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.11). The minority stratum carries</w:t>
      </w:r>
      <w:r>
        <w:t xml:space="preserve"> </w:t>
      </w:r>
      <w:r>
        <w:t xml:space="preserve">302 outcome events against 1,181, which leaves its intervals roughly</w:t>
      </w:r>
      <w:r>
        <w:t xml:space="preserve"> </w:t>
      </w:r>
      <w:r>
        <w:t xml:space="preserve">twice as wide. Feature-vector calibration is worse among non-White</w:t>
      </w:r>
      <w:r>
        <w:t xml:space="preserve"> </w:t>
      </w:r>
      <w:r>
        <w:t xml:space="preserve">patients (slope 0.79 versus 0.98) while the embedded arm holds (0.95</w:t>
      </w:r>
      <w:r>
        <w:t xml:space="preserve"> </w:t>
      </w:r>
      <w:r>
        <w:t xml:space="preserve">versus 0.97). Supplement S7 has the full stratified results, and</w:t>
      </w:r>
      <w:r>
        <w:t xml:space="preserve"> </w:t>
      </w:r>
      <w:r>
        <w:t xml:space="preserve">Limitations takes up what a gap this wide can and cannot be read to</w:t>
      </w:r>
      <w:r>
        <w:t xml:space="preserve"> </w:t>
      </w:r>
      <w:r>
        <w:t xml:space="preserve">mean.</w:t>
      </w:r>
    </w:p>
    <w:bookmarkEnd w:id="48"/>
    <w:bookmarkEnd w:id="49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46" Target="media/rId46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37" Target="media/rId37.png" /><Relationship Type="http://schemas.openxmlformats.org/officeDocument/2006/relationships/image" Id="rId28" Target="media/rId28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35" Target="media/rId35.png" /><Relationship Type="http://schemas.openxmlformats.org/officeDocument/2006/relationships/image" Id="rId33" Target="media/rId33.png" /><Relationship Type="http://schemas.openxmlformats.org/officeDocument/2006/relationships/image" Id="rId31" Target="media/rId31.png" /><Relationship Type="http://schemas.openxmlformats.org/officeDocument/2006/relationships/image" Id="rId32" Target="media/rId32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2" Target="media/rId42.png" /><Relationship Type="http://schemas.openxmlformats.org/officeDocument/2006/relationships/image" Id="rId23" Target="media/rId23.png" /><Relationship Type="http://schemas.openxmlformats.org/officeDocument/2006/relationships/image" Id="rId24" Target="media/rId24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2026-09-08T19:38:29Z</dcterms:created>
  <dcterms:modified xsi:type="dcterms:W3CDTF">2026-09-08T19:38:29Z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