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iscussion"/>
    <w:p>
      <w:pPr>
        <w:pStyle w:val="Heading1"/>
      </w:pPr>
      <w:r>
        <w:t xml:space="preserve">Discussion</w:t>
      </w:r>
    </w:p>
    <w:bookmarkStart w:id="20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rPr>
          <w:bCs/>
          <w:b/>
        </w:rPr>
        <w:t xml:space="preserve">The embedding did not beat the feature vector.</w:t>
      </w:r>
      <w:r>
        <w:t xml:space="preserve"> </w:t>
      </w:r>
      <w:r>
        <w:t xml:space="preserve">Embedded logistic</w:t>
      </w:r>
      <w:r>
        <w:t xml:space="preserve"> </w:t>
      </w:r>
      <w:r>
        <w:t xml:space="preserve">regression reached 0.657 against 0.649 for the best feature-vector</w:t>
      </w:r>
      <w:r>
        <w:t xml:space="preserve"> </w:t>
      </w:r>
      <w:r>
        <w:t xml:space="preserve">model. Both scored the same held-out patients, so the paired comparison</w:t>
      </w:r>
      <w:r>
        <w:t xml:space="preserve"> </w:t>
      </w:r>
      <w:r>
        <w:t xml:space="preserve">is the one that counts: +0.008, on an interval from −0.003 to +0.019.</w:t>
      </w:r>
      <w:r>
        <w:t xml:space="preserve"> </w:t>
      </w:r>
      <w:r>
        <w:t xml:space="preserve">Neither representation is better than the other. Both were built from</w:t>
      </w:r>
      <w:r>
        <w:t xml:space="preserve"> </w:t>
      </w:r>
      <w:r>
        <w:t xml:space="preserve">the same hand-picked record, which Supplement S8 lists field by field,</w:t>
      </w:r>
      <w:r>
        <w:t xml:space="preserve"> </w:t>
      </w:r>
      <w:r>
        <w:t xml:space="preserve">so this says nothing about whether narrative adds clinical information.</w:t>
      </w:r>
      <w:r>
        <w:t xml:space="preserve"> </w:t>
      </w:r>
      <w:r>
        <w:t xml:space="preserve">It says an embedding can reorganize the same signal without losing</w:t>
      </w:r>
      <w:r>
        <w:t xml:space="preserve"> </w:t>
      </w:r>
      <w:r>
        <w:t xml:space="preserve">discrimination, and it says nothing about what an encoder would find in</w:t>
      </w:r>
      <w:r>
        <w:t xml:space="preserve"> </w:t>
      </w:r>
      <w:r>
        <w:t xml:space="preserve">a raw record.</w:t>
      </w:r>
    </w:p>
    <w:p>
      <w:pPr>
        <w:pStyle w:val="BodyText"/>
      </w:pPr>
      <w:r>
        <w:t xml:space="preserve">Three results point the same way. The ablation traces the embedded</w:t>
      </w:r>
      <w:r>
        <w:t xml:space="preserve"> </w:t>
      </w:r>
      <w:r>
        <w:t xml:space="preserve">model’s reliance to psychiatric history, medication burden and prior</w:t>
      </w:r>
      <w:r>
        <w:t xml:space="preserve"> </w:t>
      </w:r>
      <w:r>
        <w:t xml:space="preserve">treatment exposure, which are the domains carrying the largest</w:t>
      </w:r>
      <w:r>
        <w:t xml:space="preserve"> </w:t>
      </w:r>
      <w:r>
        <w:t xml:space="preserve">feature-vector weights. The embedded model uses 385 of 4,096 dimensions,</w:t>
      </w:r>
      <w:r>
        <w:t xml:space="preserve"> </w:t>
      </w:r>
      <w:r>
        <w:t xml:space="preserve">with 80% of the coefficient magnitude in roughly 179 of them. And</w:t>
      </w:r>
      <w:r>
        <w:t xml:space="preserve"> </w:t>
      </w:r>
      <w:r>
        <w:t xml:space="preserve">discrimination stays within 0.012 across four encoders.</w:t>
      </w:r>
    </w:p>
    <w:p>
      <w:pPr>
        <w:pStyle w:val="BodyText"/>
      </w:pPr>
      <w:r>
        <w:rPr>
          <w:bCs/>
          <w:b/>
        </w:rPr>
        <w:t xml:space="preserve">It is an interaction, not a tie.</w:t>
      </w:r>
      <w:r>
        <w:t xml:space="preserve"> </w:t>
      </w:r>
      <w:r>
        <w:t xml:space="preserve">The embedding beat the feature</w:t>
      </w:r>
      <w:r>
        <w:t xml:space="preserve"> </w:t>
      </w:r>
      <w:r>
        <w:t xml:space="preserve">vector with logistic regression (+0.028) and lost to all three tree</w:t>
      </w:r>
      <w:r>
        <w:t xml:space="preserve"> </w:t>
      </w:r>
      <w:r>
        <w:t xml:space="preserve">ensembles (−0.013 to −0.022). Dense coordinates suit a regularized</w:t>
      </w:r>
      <w:r>
        <w:t xml:space="preserve"> </w:t>
      </w:r>
      <w:r>
        <w:t xml:space="preserve">linear model. Trees split one coordinate at a time, and those</w:t>
      </w:r>
      <w:r>
        <w:t xml:space="preserve"> </w:t>
      </w:r>
      <w:r>
        <w:t xml:space="preserve">coordinates mean nothing on their own. A study comparing representations</w:t>
      </w:r>
      <w:r>
        <w:t xml:space="preserve"> </w:t>
      </w:r>
      <w:r>
        <w:t xml:space="preserve">under a single learner could report either result, depending on which</w:t>
      </w:r>
      <w:r>
        <w:t xml:space="preserve"> </w:t>
      </w:r>
      <w:r>
        <w:t xml:space="preserve">learner it picked.</w:t>
      </w:r>
    </w:p>
    <w:p>
      <w:pPr>
        <w:pStyle w:val="BodyText"/>
      </w:pPr>
      <w:r>
        <w:rPr>
          <w:bCs/>
          <w:b/>
        </w:rPr>
        <w:t xml:space="preserve">Retrieval works, and loses.</w:t>
      </w:r>
      <w:r>
        <w:t xml:space="preserve"> </w:t>
      </w:r>
      <w:r>
        <w:t xml:space="preserve">Nearest retrieval discriminated far</w:t>
      </w:r>
      <w:r>
        <w:t xml:space="preserve"> </w:t>
      </w:r>
      <w:r>
        <w:t xml:space="preserve">better than random on every encoder, so proximity in the embedding</w:t>
      </w:r>
      <w:r>
        <w:t xml:space="preserve"> </w:t>
      </w:r>
      <w:r>
        <w:t xml:space="preserve">tracks TRD risk. It still fell 0.063 short of a model fitted to the same</w:t>
      </w:r>
      <w:r>
        <w:t xml:space="preserve"> </w:t>
      </w:r>
      <w:r>
        <w:t xml:space="preserve">embedding, on intervals that do not overlap, and below all eight trained</w:t>
      </w:r>
      <w:r>
        <w:t xml:space="preserve"> </w:t>
      </w:r>
      <w:r>
        <w:t xml:space="preserve">configurations. Averaging the outcomes of a patient’s 50 closest</w:t>
      </w:r>
      <w:r>
        <w:t xml:space="preserve"> </w:t>
      </w:r>
      <w:r>
        <w:t xml:space="preserve">analogues is a worse use of the representation than fitting a model to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things cause that gap. A fitted model can ignore the dimensions</w:t>
      </w:r>
      <w:r>
        <w:t xml:space="preserve"> </w:t>
      </w:r>
      <w:r>
        <w:t xml:space="preserve">carrying no outcome signal, which is what selecting 385 of 4,096 does,</w:t>
      </w:r>
      <w:r>
        <w:t xml:space="preserve"> </w:t>
      </w:r>
      <w:r>
        <w:t xml:space="preserve">whereas cosine similarity weights all 4,096 equally. And 50 neighbors</w:t>
      </w:r>
      <w:r>
        <w:t xml:space="preserve"> </w:t>
      </w:r>
      <w:r>
        <w:t xml:space="preserve">is a noisy way to estimate a rate near 0.175, however well they are</w:t>
      </w:r>
      <w:r>
        <w:t xml:space="preserve"> </w:t>
      </w:r>
      <w:r>
        <w:t xml:space="preserve">chosen. The first points toward a similarity learned against the</w:t>
      </w:r>
      <w:r>
        <w:t xml:space="preserve"> </w:t>
      </w:r>
      <w:r>
        <w:t xml:space="preserve">outcome. The second is a variance cost retrieval always pays.</w:t>
      </w:r>
    </w:p>
    <w:bookmarkEnd w:id="20"/>
    <w:bookmarkStart w:id="21" w:name="clinical-interpretation"/>
    <w:p>
      <w:pPr>
        <w:pStyle w:val="Heading2"/>
      </w:pPr>
      <w:r>
        <w:t xml:space="preserve">Clinical interpretation</w:t>
      </w:r>
    </w:p>
    <w:p>
      <w:pPr>
        <w:pStyle w:val="FirstParagraph"/>
      </w:pPr>
      <w:r>
        <w:t xml:space="preserve">The strongest feature-vector predictors are the ones a clinician would</w:t>
      </w:r>
      <w:r>
        <w:t xml:space="preserve"> </w:t>
      </w:r>
      <w:r>
        <w:t xml:space="preserve">expect: a history of suicidality, severe MDD coding, and broad</w:t>
      </w:r>
      <w:r>
        <w:t xml:space="preserve"> </w:t>
      </w:r>
      <w:r>
        <w:t xml:space="preserve">psychiatric and substance-use comorbidity. The ablation lands on the</w:t>
      </w:r>
      <w:r>
        <w:t xml:space="preserve"> </w:t>
      </w:r>
      <w:r>
        <w:t xml:space="preserve">same domains. That is reassuring for face validity and nothing more,</w:t>
      </w:r>
      <w:r>
        <w:t xml:space="preserve"> </w:t>
      </w:r>
      <w:r>
        <w:t xml:space="preserve">because every one of those predictors can equally reflect how much treatment a patient was able to get. That matters because the outcome is a treatment trajectory, not a</w:t>
      </w:r>
      <w:r>
        <w:t xml:space="preserve"> </w:t>
      </w:r>
      <w:r>
        <w:t xml:space="preserve">verified failure to respond. Definitions of EHR-defined TRD differ in</w:t>
      </w:r>
      <w:r>
        <w:t xml:space="preserve"> </w:t>
      </w:r>
      <w:r>
        <w:t xml:space="preserve">what they count, and the choice changes both how common it looks and who</w:t>
      </w:r>
      <w:r>
        <w:t xml:space="preserve"> </w:t>
      </w:r>
      <w:r>
        <w:t xml:space="preserve">ends up in the group [6-8].</w:t>
      </w:r>
    </w:p>
    <w:p>
      <w:pPr>
        <w:pStyle w:val="BodyText"/>
      </w:pPr>
      <w:r>
        <w:t xml:space="preserve">The temporal design is a real strength. Every predictor was fixed before</w:t>
      </w:r>
      <w:r>
        <w:t xml:space="preserve"> </w:t>
      </w:r>
      <w:r>
        <w:t xml:space="preserve">the index prescription and the treatment sequence defining the outcome</w:t>
      </w:r>
      <w:r>
        <w:t xml:space="preserve"> </w:t>
      </w:r>
      <w:r>
        <w:t xml:space="preserve">came afterward. That is what stops a model from reconstructing the</w:t>
      </w:r>
      <w:r>
        <w:t xml:space="preserve"> </w:t>
      </w:r>
      <w:r>
        <w:t xml:space="preserve">outcome rule out of data recorded alongside it, which is the mechanism</w:t>
      </w:r>
      <w:r>
        <w:t xml:space="preserve"> </w:t>
      </w:r>
      <w:r>
        <w:t xml:space="preserve">suspected behind the sharp external-validation drops reported elsewhere</w:t>
      </w:r>
      <w:r>
        <w:t xml:space="preserve"> </w:t>
      </w:r>
      <w:r>
        <w:t xml:space="preserve">[12].</w:t>
      </w:r>
    </w:p>
    <w:p>
      <w:pPr>
        <w:pStyle w:val="BodyText"/>
      </w:pPr>
      <w:r>
        <w:t xml:space="preserve">The sociodemographic ablation needs the same reading. It shows the</w:t>
      </w:r>
      <w:r>
        <w:t xml:space="preserve"> </w:t>
      </w:r>
      <w:r>
        <w:t xml:space="preserve">models did not need the recorded race/ethnicity and social-determinant</w:t>
      </w:r>
      <w:r>
        <w:t xml:space="preserve"> </w:t>
      </w:r>
      <w:r>
        <w:t xml:space="preserve">fields to reach their ROC AUC. It does not show the prediction pathway</w:t>
      </w:r>
      <w:r>
        <w:t xml:space="preserve"> </w:t>
      </w:r>
      <w:r>
        <w:t xml:space="preserve">is demographically neutral. Utilization and treatment variables can</w:t>
      </w:r>
      <w:r>
        <w:t xml:space="preserve"> </w:t>
      </w:r>
      <w:r>
        <w:t xml:space="preserve">carry differential access, and the chance to receive several medication</w:t>
      </w:r>
      <w:r>
        <w:t xml:space="preserve"> </w:t>
      </w:r>
      <w:r>
        <w:t xml:space="preserve">changes is itself socially patterned.</w:t>
      </w:r>
    </w:p>
    <w:bookmarkEnd w:id="21"/>
    <w:bookmarkStart w:id="22" w:name="comparison-with-prior-work"/>
    <w:p>
      <w:pPr>
        <w:pStyle w:val="Heading2"/>
      </w:pPr>
      <w:r>
        <w:t xml:space="preserve">Comparison with prior work</w:t>
      </w:r>
    </w:p>
    <w:p>
      <w:pPr>
        <w:pStyle w:val="FirstParagraph"/>
      </w:pPr>
      <w:r>
        <w:t xml:space="preserve">Reported discrimination for treatment resistance varies widely, and 0.65</w:t>
      </w:r>
      <w:r>
        <w:t xml:space="preserve"> </w:t>
      </w:r>
      <w:r>
        <w:t xml:space="preserve">is not a ceiling [18-21,30]. What moves it is the phenotype definition, the</w:t>
      </w:r>
      <w:r>
        <w:t xml:space="preserve"> </w:t>
      </w:r>
      <w:r>
        <w:t xml:space="preserve">prediction horizon, how close the predictors sit to the treatment</w:t>
      </w:r>
      <w:r>
        <w:t xml:space="preserve"> </w:t>
      </w:r>
      <w:r>
        <w:t xml:space="preserve">trajectory, and whether validation is internal or external. Liberman and colleagues</w:t>
      </w:r>
      <w:r>
        <w:t xml:space="preserve"> </w:t>
      </w:r>
      <w:r>
        <w:t xml:space="preserve">reached 0.83 over 24 months</w:t>
      </w:r>
      <w:r>
        <w:t xml:space="preserve"> </w:t>
      </w:r>
      <w:r>
        <w:t xml:space="preserve">in 35,246 adults, on predictors that mix illness burden with the</w:t>
      </w:r>
      <w:r>
        <w:t xml:space="preserve"> </w:t>
      </w:r>
      <w:r>
        <w:t xml:space="preserve">intensity of care received [9]. Lage and colleagues reported 0.652 (95%</w:t>
      </w:r>
      <w:r>
        <w:t xml:space="preserve"> </w:t>
      </w:r>
      <w:r>
        <w:t xml:space="preserve">CI 0.623–0.682) under external validation, with a top-quintile lift of</w:t>
      </w:r>
      <w:r>
        <w:t xml:space="preserve"> </w:t>
      </w:r>
      <w:r>
        <w:t xml:space="preserve">1.99 [10]. A single-site multimodal study reported 0.684 from structured</w:t>
      </w:r>
      <w:r>
        <w:t xml:space="preserve"> </w:t>
      </w:r>
      <w:r>
        <w:t xml:space="preserve">data, 0.569 from notes and 0.728 from the two combined, with MRI highest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Transportability is the harder constraint. Across three health systems,</w:t>
      </w:r>
      <w:r>
        <w:t xml:space="preserve"> </w:t>
      </w:r>
      <w:r>
        <w:t xml:space="preserve">internal ROC AUCs of 0.58–0.64 fell to 0.51–0.58 under external</w:t>
      </w:r>
      <w:r>
        <w:t xml:space="preserve"> </w:t>
      </w:r>
      <w:r>
        <w:t xml:space="preserve">validation, and patient-level risk estimates agreed poorly between sites [12]. The 0.65 reported here sits with the externally validated and</w:t>
      </w:r>
      <w:r>
        <w:t xml:space="preserve"> </w:t>
      </w:r>
      <w:r>
        <w:t xml:space="preserve">single-site structural estimates. It is neither a new ceiling nor an</w:t>
      </w:r>
      <w:r>
        <w:t xml:space="preserve"> </w:t>
      </w:r>
      <w:r>
        <w:t xml:space="preserve">improvement on any of them [9-12]. What this study contributes is the</w:t>
      </w:r>
      <w:r>
        <w:t xml:space="preserve"> </w:t>
      </w:r>
      <w:r>
        <w:t xml:space="preserve">controlled comparison: the same patients, cutoff, source record, outcome</w:t>
      </w:r>
      <w:r>
        <w:t xml:space="preserve"> </w:t>
      </w:r>
      <w:r>
        <w:t xml:space="preserve">and held-out split. Within it, the embedding preserved the signal a</w:t>
      </w:r>
      <w:r>
        <w:t xml:space="preserve"> </w:t>
      </w:r>
      <w:r>
        <w:t xml:space="preserve">transparent feature vector already carried, and did not exceed it.</w:t>
      </w:r>
    </w:p>
    <w:bookmarkEnd w:id="22"/>
    <w:bookmarkStart w:id="2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rPr>
          <w:bCs/>
          <w:b/>
        </w:rPr>
        <w:t xml:space="preserve">The outcome counts switches, and cannot see why a switch happened.</w:t>
      </w:r>
      <w:r>
        <w:t xml:space="preserve"> </w:t>
      </w:r>
      <w:r>
        <w:t xml:space="preserve">This is the binding limitation on everything above. The label is</w:t>
      </w:r>
      <w:r>
        <w:t xml:space="preserve"> </w:t>
      </w:r>
      <w:r>
        <w:t xml:space="preserve">assigned when a patient receives three or more distinct antidepressant</w:t>
      </w:r>
      <w:r>
        <w:t xml:space="preserve"> </w:t>
      </w:r>
      <w:r>
        <w:t xml:space="preserve">treatments within a year [2], and nothing in the record says whether</w:t>
      </w:r>
      <w:r>
        <w:t xml:space="preserve"> </w:t>
      </w:r>
      <w:r>
        <w:t xml:space="preserve">the change followed a genuine failure to respond. A patient is switched because the</w:t>
      </w:r>
      <w:r>
        <w:t xml:space="preserve"> </w:t>
      </w:r>
      <w:r>
        <w:t xml:space="preserve">drug did not work, or because it caused intolerable side effects, or</w:t>
      </w:r>
      <w:r>
        <w:t xml:space="preserve"> </w:t>
      </w:r>
      <w:r>
        <w:t xml:space="preserve">because it was unaffordable, or because they stopped taking it, or</w:t>
      </w:r>
      <w:r>
        <w:t xml:space="preserve"> </w:t>
      </w:r>
      <w:r>
        <w:t xml:space="preserve">because their prescriber prefers switching to augmenting. All of these increment the count identically,</w:t>
      </w:r>
      <w:r>
        <w:t xml:space="preserve"> </w:t>
      </w:r>
      <w:r>
        <w:t xml:space="preserve">and this study cannot distinguish them. Symptom response was not systematically recorded, and dose and duration</w:t>
      </w:r>
      <w:r>
        <w:t xml:space="preserve"> </w:t>
      </w:r>
      <w:r>
        <w:t xml:space="preserve">adequacy were not verified for the counted treatments. The target therefore</w:t>
      </w:r>
      <w:r>
        <w:t xml:space="preserve"> </w:t>
      </w:r>
      <w:r>
        <w:t xml:space="preserve">approximates rather than establishes the consensus characterization of TRD as</w:t>
      </w:r>
      <w:r>
        <w:t xml:space="preserve"> </w:t>
      </w:r>
      <w:r>
        <w:t xml:space="preserve">inadequate response to at least two adequate trials [4,5].</w:t>
      </w:r>
    </w:p>
    <w:p>
      <w:pPr>
        <w:pStyle w:val="BodyText"/>
      </w:pPr>
      <w:r>
        <w:t xml:space="preserve">Switching also</w:t>
      </w:r>
      <w:r>
        <w:t xml:space="preserve"> </w:t>
      </w:r>
      <w:r>
        <w:t xml:space="preserve">depends on continuity of care, insurance, and access. Those differ across</w:t>
      </w:r>
      <w:r>
        <w:t xml:space="preserve"> </w:t>
      </w:r>
      <w:r>
        <w:t xml:space="preserve">demographic groups in the delivery of depression treatment in the United States</w:t>
      </w:r>
      <w:r>
        <w:t xml:space="preserve"> </w:t>
      </w:r>
      <w:r>
        <w:t xml:space="preserve">[16,17], so the label can encode health-care process alongside pharmacologic</w:t>
      </w:r>
      <w:r>
        <w:t xml:space="preserve"> </w:t>
      </w:r>
      <w:r>
        <w:t xml:space="preserve">non-response. Changing the operational rules materially alters both prevalence</w:t>
      </w:r>
      <w:r>
        <w:t xml:space="preserve"> </w:t>
      </w:r>
      <w:r>
        <w:t xml:space="preserve">and cohort composition [6-8].</w:t>
      </w:r>
    </w:p>
    <w:p>
      <w:pPr>
        <w:pStyle w:val="BodyText"/>
      </w:pPr>
      <w:r>
        <w:t xml:space="preserve">The proxy is wrong in two directions. It counts patients who changed</w:t>
      </w:r>
      <w:r>
        <w:t xml:space="preserve"> </w:t>
      </w:r>
      <w:r>
        <w:t xml:space="preserve">drugs for reasons that have nothing to do with whether the drug worked,</w:t>
      </w:r>
      <w:r>
        <w:t xml:space="preserve"> </w:t>
      </w:r>
      <w:r>
        <w:t xml:space="preserve">such as a change in insurance or a break in care. It misses patients who</w:t>
      </w:r>
      <w:r>
        <w:t xml:space="preserve"> </w:t>
      </w:r>
      <w:r>
        <w:t xml:space="preserve">stayed on one inadequate drug and never switched, and that is the group</w:t>
      </w:r>
      <w:r>
        <w:t xml:space="preserve"> </w:t>
      </w:r>
      <w:r>
        <w:t xml:space="preserve">a clinician would worry about most. This study cannot see them at all.</w:t>
      </w:r>
      <w:r>
        <w:t xml:space="preserve"> </w:t>
      </w:r>
      <w:r>
        <w:t xml:space="preserve">Both arms predict the same imperfect label, so the head-to-head</w:t>
      </w:r>
      <w:r>
        <w:t xml:space="preserve"> </w:t>
      </w:r>
      <w:r>
        <w:t xml:space="preserve">comparison is not biased by it. What it costs is the meaning of the</w:t>
      </w:r>
      <w:r>
        <w:t xml:space="preserve"> </w:t>
      </w:r>
      <w:r>
        <w:t xml:space="preserve">absolute number, which is discrimination against the proxy rather than</w:t>
      </w:r>
      <w:r>
        <w:t xml:space="preserve"> </w:t>
      </w:r>
      <w:r>
        <w:t xml:space="preserve">against TRD. Two things would sharpen the target and neither was done</w:t>
      </w:r>
      <w:r>
        <w:t xml:space="preserve"> </w:t>
      </w:r>
      <w:r>
        <w:t xml:space="preserve">here: checking the label against chart review, and building a stricter</w:t>
      </w:r>
      <w:r>
        <w:t xml:space="preserve"> </w:t>
      </w:r>
      <w:r>
        <w:t xml:space="preserve">label that requires documented adequate courses after the index date.</w:t>
      </w:r>
    </w:p>
    <w:p>
      <w:pPr>
        <w:pStyle w:val="BodyText"/>
      </w:pPr>
      <w:r>
        <w:rPr>
          <w:bCs/>
          <w:b/>
        </w:rPr>
        <w:t xml:space="preserve">Validation is internal, and the reported discrimination is an upper</w:t>
      </w:r>
      <w:r>
        <w:rPr>
          <w:bCs/>
          <w:b/>
        </w:rPr>
        <w:t xml:space="preserve"> </w:t>
      </w:r>
      <w:r>
        <w:rPr>
          <w:bCs/>
          <w:b/>
        </w:rPr>
        <w:t xml:space="preserve">bound.</w:t>
      </w:r>
      <w:r>
        <w:t xml:space="preserve"> </w:t>
      </w:r>
      <w:r>
        <w:t xml:space="preserve">This is a single random split of one health system’s records</w:t>
      </w:r>
      <w:r>
        <w:t xml:space="preserve"> </w:t>
      </w:r>
      <w:r>
        <w:t xml:space="preserve">spanning 2016–2024. There is no temporal split and no external cohort,</w:t>
      </w:r>
      <w:r>
        <w:t xml:space="preserve"> </w:t>
      </w:r>
      <w:r>
        <w:t xml:space="preserve">so nothing here speaks to transportability across time or site. The</w:t>
      </w:r>
      <w:r>
        <w:t xml:space="preserve"> </w:t>
      </w:r>
      <w:r>
        <w:t xml:space="preserve">study also cannot detect the coding, documentation, and prescribing</w:t>
      </w:r>
      <w:r>
        <w:t xml:space="preserve"> </w:t>
      </w:r>
      <w:r>
        <w:t xml:space="preserve">drift that accumulates over a nine-year window, because a random split</w:t>
      </w:r>
      <w:r>
        <w:t xml:space="preserve"> </w:t>
      </w:r>
      <w:r>
        <w:t xml:space="preserve">distributes any such drift evenly across both sides and hides it.</w:t>
      </w:r>
      <w:r>
        <w:t xml:space="preserve"> </w:t>
      </w:r>
      <w:r>
        <w:t xml:space="preserve">Reported discrimination should therefore be read as an upper bound on</w:t>
      </w:r>
      <w:r>
        <w:t xml:space="preserve"> </w:t>
      </w:r>
      <w:r>
        <w:t xml:space="preserve">what the same models would achieve on later data or in another system.</w:t>
      </w:r>
      <w:r>
        <w:t xml:space="preserve"> </w:t>
      </w:r>
      <w:r>
        <w:t xml:space="preserve">The drop seen elsewhere under external validation is substantial [12]. By construction the embedded representation also runs below the</w:t>
      </w:r>
      <w:r>
        <w:t xml:space="preserve"> </w:t>
      </w:r>
      <w:r>
        <w:t xml:space="preserve">conventional events-per-variable threshold of 10 on three of the four</w:t>
      </w:r>
      <w:r>
        <w:t xml:space="preserve"> </w:t>
      </w:r>
      <w:r>
        <w:t xml:space="preserve">encoders (EPV ≈ 1.5–2.3), whereas the feature-vector model comfortably</w:t>
      </w:r>
      <w:r>
        <w:t xml:space="preserve"> </w:t>
      </w:r>
      <w:r>
        <w:t xml:space="preserve">exceeds it at ≈65.</w:t>
      </w:r>
    </w:p>
    <w:p>
      <w:pPr>
        <w:pStyle w:val="BodyText"/>
      </w:pPr>
      <w:r>
        <w:rPr>
          <w:bCs/>
          <w:b/>
        </w:rPr>
        <w:t xml:space="preserve">Retrieval was tested in one form.</w:t>
      </w:r>
      <w:r>
        <w:t xml:space="preserve"> </w:t>
      </w:r>
      <w:r>
        <w:t xml:space="preserve">The retrieval result bounds the</w:t>
      </w:r>
      <w:r>
        <w:t xml:space="preserve"> </w:t>
      </w:r>
      <w:r>
        <w:t xml:space="preserve">digital-twin premise as implemented here, not the premise in general.</w:t>
      </w:r>
      <w:r>
        <w:t xml:space="preserve"> </w:t>
      </w:r>
      <w:r>
        <w:t xml:space="preserve">Similarity was geometric cosine similarity over an unsupervised</w:t>
      </w:r>
      <w:r>
        <w:t xml:space="preserve"> </w:t>
      </w:r>
      <w:r>
        <w:t xml:space="preserve">embedding, the neighborhood was fixed at 50 patients, and the neighbor</w:t>
      </w:r>
      <w:r>
        <w:t xml:space="preserve"> </w:t>
      </w:r>
      <w:r>
        <w:t xml:space="preserve">pool was the training half of a single cohort. A supervised or</w:t>
      </w:r>
      <w:r>
        <w:t xml:space="preserve"> </w:t>
      </w:r>
      <w:r>
        <w:t xml:space="preserve">metric-learned similarity, a different neighborhood size, a</w:t>
      </w:r>
      <w:r>
        <w:t xml:space="preserve"> </w:t>
      </w:r>
      <w:r>
        <w:t xml:space="preserve">prevalence-recalibrated local estimate, or a neighbor pool drawn from</w:t>
      </w:r>
      <w:r>
        <w:t xml:space="preserve"> </w:t>
      </w:r>
      <w:r>
        <w:t xml:space="preserve">several health systems could each perform differently, and none was</w:t>
      </w:r>
      <w:r>
        <w:t xml:space="preserve"> </w:t>
      </w:r>
      <w:r>
        <w:t xml:space="preserve">tested. What the present analysis supports is narrower and still substantive. On</w:t>
      </w:r>
      <w:r>
        <w:t xml:space="preserve"> </w:t>
      </w:r>
      <w:r>
        <w:t xml:space="preserve">this cohort, an unsupervised embedding whose geometry demonstrably</w:t>
      </w:r>
      <w:r>
        <w:t xml:space="preserve"> </w:t>
      </w:r>
      <w:r>
        <w:t xml:space="preserve">tracks the outcome still yields a retrieval predictor that a fitted</w:t>
      </w:r>
      <w:r>
        <w:t xml:space="preserve"> </w:t>
      </w:r>
      <w:r>
        <w:t xml:space="preserve">model beats decisively.</w:t>
      </w:r>
    </w:p>
    <w:p>
      <w:pPr>
        <w:pStyle w:val="BodyText"/>
      </w:pPr>
      <w:r>
        <w:rPr>
          <w:bCs/>
          <w:b/>
        </w:rPr>
        <w:t xml:space="preserve">Absence of an advantage is not equivalence.</w:t>
      </w:r>
      <w:r>
        <w:t xml:space="preserve"> </w:t>
      </w:r>
      <w:r>
        <w:t xml:space="preserve">No equivalence or</w:t>
      </w:r>
      <w:r>
        <w:t xml:space="preserve"> </w:t>
      </w:r>
      <w:r>
        <w:t xml:space="preserve">noninferiority margin was prespecified. The correct statement is that</w:t>
      </w:r>
      <w:r>
        <w:t xml:space="preserve"> </w:t>
      </w:r>
      <w:r>
        <w:t xml:space="preserve">this study found no evidence of superior internal discrimination for the</w:t>
      </w:r>
      <w:r>
        <w:t xml:space="preserve"> </w:t>
      </w:r>
      <w:r>
        <w:t xml:space="preserve">embedding, bounded above by +0.019 ROC AUC, the upper end of the paired</w:t>
      </w:r>
      <w:r>
        <w:t xml:space="preserve"> </w:t>
      </w:r>
      <w:r>
        <w:t xml:space="preserve">interval. It is not that the two representations are equivalent.</w:t>
      </w:r>
    </w:p>
    <w:p>
      <w:pPr>
        <w:pStyle w:val="BodyText"/>
      </w:pPr>
      <w:r>
        <w:t xml:space="preserve">What the embedding does offer is that it cost no discrimination, needed</w:t>
      </w:r>
      <w:r>
        <w:t xml:space="preserve"> </w:t>
      </w:r>
      <w:r>
        <w:t xml:space="preserve">no explicit feature vector, and held across encoders. That is not a free</w:t>
      </w:r>
      <w:r>
        <w:t xml:space="preserve"> </w:t>
      </w:r>
      <w:r>
        <w:t xml:space="preserve">lunch. It still depends on</w:t>
      </w:r>
      <w:r>
        <w:t xml:space="preserve"> </w:t>
      </w:r>
      <w:r>
        <w:t xml:space="preserve">the hand-built deterministic narrative, which required the same parsing</w:t>
      </w:r>
      <w:r>
        <w:t xml:space="preserve"> </w:t>
      </w:r>
      <w:r>
        <w:t xml:space="preserve">and structuring of the raw record. The engineering effort</w:t>
      </w:r>
      <w:r>
        <w:t xml:space="preserve"> </w:t>
      </w:r>
      <w:r>
        <w:t xml:space="preserve">is relocated from designing a feature vector to designing a narrative</w:t>
      </w:r>
      <w:r>
        <w:t xml:space="preserve"> </w:t>
      </w:r>
      <w:r>
        <w:t xml:space="preserve">template rather than eliminated.</w:t>
      </w:r>
    </w:p>
    <w:p>
      <w:pPr>
        <w:pStyle w:val="BodyText"/>
      </w:pPr>
      <w:r>
        <w:rPr>
          <w:bCs/>
          <w:b/>
        </w:rPr>
        <w:t xml:space="preserve">Missing data were dropped rather than modeled.</w:t>
      </w:r>
      <w:r>
        <w:t xml:space="preserve"> </w:t>
      </w:r>
      <w:r>
        <w:t xml:space="preserve">The three vital-sign columns were removed rather than imputed, because</w:t>
      </w:r>
      <w:r>
        <w:t xml:space="preserve"> </w:t>
      </w:r>
      <w:r>
        <w:t xml:space="preserve">whether a vital sign was recorded is itself associated with the outcome.</w:t>
      </w:r>
      <w:r>
        <w:t xml:space="preserve"> </w:t>
      </w:r>
      <w:r>
        <w:t xml:space="preserve">That rules out missingness completely at random without identifying the</w:t>
      </w:r>
      <w:r>
        <w:t xml:space="preserve"> </w:t>
      </w:r>
      <w:r>
        <w:t xml:space="preserve">mechanism, so dropping the columns is conservative rather than</w:t>
      </w:r>
      <w:r>
        <w:t xml:space="preserve"> </w:t>
      </w:r>
      <w:r>
        <w:t xml:space="preserve">justified. It costs three genuinely clinical predictors. It also</w:t>
      </w:r>
      <w:r>
        <w:t xml:space="preserve"> </w:t>
      </w:r>
      <w:r>
        <w:t xml:space="preserve">discards signal the rest of the pipeline keeps: an absent categorical</w:t>
      </w:r>
      <w:r>
        <w:t xml:space="preserve"> </w:t>
      </w:r>
      <w:r>
        <w:t xml:space="preserve">value becomes its own level in the feature vector, so a model can use</w:t>
      </w:r>
      <w:r>
        <w:t xml:space="preserve"> </w:t>
      </w:r>
      <w:r>
        <w:t xml:space="preserve">the fact that a record is missing. Missingness in religion and</w:t>
      </w:r>
      <w:r>
        <w:t xml:space="preserve"> </w:t>
      </w:r>
      <w:r>
        <w:t xml:space="preserve">race/ethnicity is likewise associated with the outcome, and Supplement</w:t>
      </w:r>
      <w:r>
        <w:t xml:space="preserve"> </w:t>
      </w:r>
      <w:r>
        <w:t xml:space="preserve">M6 has the frequencies and the retained-category rules. The vitals are</w:t>
      </w:r>
      <w:r>
        <w:t xml:space="preserve"> </w:t>
      </w:r>
      <w:r>
        <w:t xml:space="preserve">the one place this paper throws that signal away.</w:t>
      </w:r>
    </w:p>
    <w:p>
      <w:pPr>
        <w:pStyle w:val="BodyText"/>
      </w:pPr>
      <w:r>
        <w:rPr>
          <w:bCs/>
          <w:b/>
        </w:rPr>
        <w:t xml:space="preserve">This study reports no fairness evidence.</w:t>
      </w:r>
      <w:r>
        <w:t xml:space="preserve"> </w:t>
      </w:r>
      <w:r>
        <w:t xml:space="preserve">The ablation establishes</w:t>
      </w:r>
      <w:r>
        <w:t xml:space="preserve"> </w:t>
      </w:r>
      <w:r>
        <w:t xml:space="preserve">only that neither model’s predictions rely on the race/ethnicity and</w:t>
      </w:r>
      <w:r>
        <w:t xml:space="preserve"> </w:t>
      </w:r>
      <w:r>
        <w:t xml:space="preserve">social-determinant fields supplied directly to it. Three questions</w:t>
      </w:r>
      <w:r>
        <w:t xml:space="preserve"> </w:t>
      </w:r>
      <w:r>
        <w:t xml:space="preserve">remain open. Sociodemographic information may still reach the models</w:t>
      </w:r>
      <w:r>
        <w:t xml:space="preserve"> </w:t>
      </w:r>
      <w:r>
        <w:t xml:space="preserve">indirectly through correlated psychiatric, medication, or utilization</w:t>
      </w:r>
      <w:r>
        <w:t xml:space="preserve"> </w:t>
      </w:r>
      <w:r>
        <w:t xml:space="preserve">content. The outcome label is derived from prescribing behavior and may</w:t>
      </w:r>
      <w:r>
        <w:t xml:space="preserve"> </w:t>
      </w:r>
      <w:r>
        <w:t xml:space="preserve">itself be inequitably distributed, given documented racial and ethnic</w:t>
      </w:r>
      <w:r>
        <w:t xml:space="preserve"> </w:t>
      </w:r>
      <w:r>
        <w:t xml:space="preserve">disparities in the delivery of depression treatment [16,17]. And age,</w:t>
      </w:r>
      <w:r>
        <w:t xml:space="preserve"> </w:t>
      </w:r>
      <w:r>
        <w:t xml:space="preserve">sex, preferred language, marital status, religion, and smoking status</w:t>
      </w:r>
      <w:r>
        <w:t xml:space="preserve"> </w:t>
      </w:r>
      <w:r>
        <w:t xml:space="preserve">remain in both representations and were never permuted. The subgroup</w:t>
      </w:r>
      <w:r>
        <w:t xml:space="preserve"> </w:t>
      </w:r>
      <w:r>
        <w:t xml:space="preserve">evidence does not return a uniform null: sex shows no difference</w:t>
      </w:r>
      <w:r>
        <w:t xml:space="preserve"> </w:t>
      </w:r>
      <w:r>
        <w:t xml:space="preserve">anywhere, whereas the White-minus-non-White contrasts are directionally</w:t>
      </w:r>
      <w:r>
        <w:t xml:space="preserve"> </w:t>
      </w:r>
      <w:r>
        <w:t xml:space="preserve">positive throughout without surviving correction, and non-White</w:t>
      </w:r>
      <w:r>
        <w:t xml:space="preserve"> </w:t>
      </w:r>
      <w:r>
        <w:t xml:space="preserve">calibration is materially worse in the feature-vector arm.</w:t>
      </w:r>
    </w:p>
    <w:p>
      <w:pPr>
        <w:pStyle w:val="BodyText"/>
      </w:pPr>
      <w:r>
        <w:t xml:space="preserve">This cohort cannot settle whether there is a race-associated gap, in</w:t>
      </w:r>
      <w:r>
        <w:t xml:space="preserve"> </w:t>
      </w:r>
      <w:r>
        <w:t xml:space="preserve">either direction. The reason is sample size: the non-White stratum</w:t>
      </w:r>
      <w:r>
        <w:t xml:space="preserve"> </w:t>
      </w:r>
      <w:r>
        <w:t xml:space="preserve">carries 302 TRD events against 1,181, so every contrast involving it has</w:t>
      </w:r>
      <w:r>
        <w:t xml:space="preserve"> </w:t>
      </w:r>
      <w:r>
        <w:t xml:space="preserve">an interval about twice as wide. Individual race categories carry too</w:t>
      </w:r>
      <w:r>
        <w:t xml:space="preserve"> </w:t>
      </w:r>
      <w:r>
        <w:t xml:space="preserve">few events to estimate at all, which is why the analysis compares White</w:t>
      </w:r>
      <w:r>
        <w:t xml:space="preserve"> </w:t>
      </w:r>
      <w:r>
        <w:t xml:space="preserve">against everyone else. The groups where a disparity would be most likely</w:t>
      </w:r>
      <w:r>
        <w:t xml:space="preserve"> </w:t>
      </w:r>
      <w:r>
        <w:t xml:space="preserve">to appear are the ones that disappear into that single comparison.</w:t>
      </w:r>
    </w:p>
    <w:p>
      <w:pPr>
        <w:pStyle w:val="BodyText"/>
      </w:pPr>
      <w:r>
        <w:rPr>
          <w:bCs/>
          <w:b/>
        </w:rPr>
        <w:t xml:space="preserve">The cohort is one community health system.</w:t>
      </w:r>
      <w:r>
        <w:t xml:space="preserve"> </w:t>
      </w:r>
      <w:r>
        <w:t xml:space="preserve">It skews middle-aged and</w:t>
      </w:r>
      <w:r>
        <w:t xml:space="preserve"> </w:t>
      </w:r>
      <w:r>
        <w:t xml:space="preserve">older (34.7% aged 65 or over), predominantly female (72.5%),</w:t>
      </w:r>
      <w:r>
        <w:t xml:space="preserve"> </w:t>
      </w:r>
      <w:r>
        <w:t xml:space="preserve">overwhelmingly White (80.0%) and English-preferring (98.9%). Both the</w:t>
      </w:r>
      <w:r>
        <w:t xml:space="preserve"> </w:t>
      </w:r>
      <w:r>
        <w:t xml:space="preserve">single-center design and that demographic profile limit transfer to more</w:t>
      </w:r>
      <w:r>
        <w:t xml:space="preserve"> </w:t>
      </w:r>
      <w:r>
        <w:t xml:space="preserve">diverse or non-English-preferring populations and to health systems</w:t>
      </w:r>
      <w:r>
        <w:t xml:space="preserve"> </w:t>
      </w:r>
      <w:r>
        <w:t xml:space="preserve">whose case mix or prescribing culture differs. Because the index</w:t>
      </w:r>
      <w:r>
        <w:t xml:space="preserve"> </w:t>
      </w:r>
      <w:r>
        <w:t xml:space="preserve">prescription can be written anywhere in the system rather than in</w:t>
      </w:r>
      <w:r>
        <w:t xml:space="preserve"> </w:t>
      </w:r>
      <w:r>
        <w:t xml:space="preserve">specialty psychiatric care, the cohort is also weighted toward routine</w:t>
      </w:r>
      <w:r>
        <w:t xml:space="preserve"> </w:t>
      </w:r>
      <w:r>
        <w:t xml:space="preserve">rather than referred management.</w:t>
      </w:r>
    </w:p>
    <w:p>
      <w:pPr>
        <w:pStyle w:val="BodyText"/>
      </w:pPr>
      <w:r>
        <w:rPr>
          <w:bCs/>
          <w:b/>
        </w:rPr>
        <w:t xml:space="preserve">The ablation perturbs one concept at a time.</w:t>
      </w:r>
      <w:r>
        <w:t xml:space="preserve"> </w:t>
      </w:r>
      <w:r>
        <w:t xml:space="preserve">It therefore cannot</w:t>
      </w:r>
      <w:r>
        <w:t xml:space="preserve"> </w:t>
      </w:r>
      <w:r>
        <w:t xml:space="preserve">disentangle co-correlated clinical content without joint perturbation,</w:t>
      </w:r>
      <w:r>
        <w:t xml:space="preserve"> </w:t>
      </w:r>
      <w:r>
        <w:t xml:space="preserve">and prior treatment exposure and medication burden are the two concepts</w:t>
      </w:r>
      <w:r>
        <w:t xml:space="preserve"> </w:t>
      </w:r>
      <w:r>
        <w:t xml:space="preserve">most likely to share contribution. It also cannot rule out</w:t>
      </w:r>
      <w:r>
        <w:t xml:space="preserve"> </w:t>
      </w:r>
      <w:r>
        <w:t xml:space="preserve">reconstruction of a permuted concept from correlated fields left intact.</w:t>
      </w:r>
    </w:p>
    <w:p>
      <w:pPr>
        <w:pStyle w:val="BodyText"/>
      </w:pPr>
      <w:r>
        <w:rPr>
          <w:bCs/>
          <w:b/>
        </w:rPr>
        <w:t xml:space="preserve">The operating point and the calibration are both optimistic.</w:t>
      </w:r>
      <w:r>
        <w:t xml:space="preserve"> </w:t>
      </w:r>
      <w:r>
        <w:t xml:space="preserve">The</w:t>
      </w:r>
      <w:r>
        <w:t xml:space="preserve"> </w:t>
      </w:r>
      <w:r>
        <w:t xml:space="preserve">Youden-J threshold was selected on the same held-out patients the models</w:t>
      </w:r>
      <w:r>
        <w:t xml:space="preserve"> </w:t>
      </w:r>
      <w:r>
        <w:t xml:space="preserve">were then scored on, so the reported sensitivity and specificity are not</w:t>
      </w:r>
      <w:r>
        <w:t xml:space="preserve"> </w:t>
      </w:r>
      <w:r>
        <w:t xml:space="preserve">candidate operating characteristics. Calibration was measured inside a case-enriched sample. Its 17.5% TRD</w:t>
      </w:r>
      <w:r>
        <w:t xml:space="preserve"> </w:t>
      </w:r>
      <w:r>
        <w:t xml:space="preserve">rate was chosen by the sampling design and is not what a clinic would</w:t>
      </w:r>
      <w:r>
        <w:t xml:space="preserve"> </w:t>
      </w:r>
      <w:r>
        <w:t xml:space="preserve">see, so a predicted risk from these models is a risk relative to this</w:t>
      </w:r>
      <w:r>
        <w:t xml:space="preserve"> </w:t>
      </w:r>
      <w:r>
        <w:t xml:space="preserve">cohort. Applying them anywhere else would need the probabilities</w:t>
      </w:r>
      <w:r>
        <w:t xml:space="preserve"> </w:t>
      </w:r>
      <w:r>
        <w:t xml:space="preserve">rescaled to that population’s own rate.</w:t>
      </w:r>
    </w:p>
    <w:bookmarkEnd w:id="23"/>
    <w:bookmarkStart w:id="24" w:name="implications-and-future-directions"/>
    <w:p>
      <w:pPr>
        <w:pStyle w:val="Heading2"/>
      </w:pPr>
      <w:r>
        <w:t xml:space="preserve">Implications and future directions</w:t>
      </w:r>
    </w:p>
    <w:p>
      <w:pPr>
        <w:pStyle w:val="FirstParagraph"/>
      </w:pPr>
      <w:r>
        <w:t xml:space="preserve">At 0.65, none of this is ready for the clinic. The next study should</w:t>
      </w:r>
      <w:r>
        <w:t xml:space="preserve"> </w:t>
      </w:r>
      <w:r>
        <w:t xml:space="preserve">validate externally, across sites and forward in time, with the whole</w:t>
      </w:r>
      <w:r>
        <w:t xml:space="preserve"> </w:t>
      </w:r>
      <w:r>
        <w:t xml:space="preserve">pipeline frozen, and should report calibration and decision-curve</w:t>
      </w:r>
      <w:r>
        <w:t xml:space="preserve"> </w:t>
      </w:r>
      <w:r>
        <w:t xml:space="preserve">analysis rather than discrimination alone. This cohort was</w:t>
      </w:r>
      <w:r>
        <w:t xml:space="preserve"> </w:t>
      </w:r>
      <w:r>
        <w:t xml:space="preserve">case-enriched, so absolute risks need rescaling before they mean</w:t>
      </w:r>
      <w:r>
        <w:t xml:space="preserve"> </w:t>
      </w:r>
      <w:r>
        <w:t xml:space="preserve">anything clinically.</w:t>
      </w:r>
    </w:p>
    <w:p>
      <w:pPr>
        <w:pStyle w:val="BodyText"/>
      </w:pPr>
      <w:r>
        <w:t xml:space="preserve">Incremental value should be tested against simple baselines, not only</w:t>
      </w:r>
      <w:r>
        <w:t xml:space="preserve"> </w:t>
      </w:r>
      <w:r>
        <w:t xml:space="preserve">against other architectures. The comparators that matter are outcome</w:t>
      </w:r>
      <w:r>
        <w:t xml:space="preserve"> </w:t>
      </w:r>
      <w:r>
        <w:t xml:space="preserve">prevalence, age and coded severity, prior medication history, and a</w:t>
      </w:r>
      <w:r>
        <w:t xml:space="preserve"> </w:t>
      </w:r>
      <w:r>
        <w:t xml:space="preserve">compact set of comorbidity and utilization variables. An embedding earns</w:t>
      </w:r>
      <w:r>
        <w:t xml:space="preserve"> </w:t>
      </w:r>
      <w:r>
        <w:t xml:space="preserve">its place only if it improves transportability, calibration or net</w:t>
      </w:r>
      <w:r>
        <w:t xml:space="preserve"> </w:t>
      </w:r>
      <w:r>
        <w:t xml:space="preserve">benefit beyond those.</w:t>
      </w:r>
    </w:p>
    <w:p>
      <w:pPr>
        <w:pStyle w:val="BodyText"/>
      </w:pPr>
      <w:r>
        <w:t xml:space="preserve">Three experiments follow from what is reported here. Embed an untailored</w:t>
      </w:r>
      <w:r>
        <w:t xml:space="preserve"> </w:t>
      </w:r>
      <w:r>
        <w:t xml:space="preserve">record, which tests whether an encoder finds TRD-relevant structure</w:t>
      </w:r>
      <w:r>
        <w:t xml:space="preserve"> </w:t>
      </w:r>
      <w:r>
        <w:t xml:space="preserve">without being told where to look. The obstacle there is input length: predictors here come from a fixed</w:t>
      </w:r>
      <w:r>
        <w:t xml:space="preserve"> </w:t>
      </w:r>
      <w:r>
        <w:t xml:space="preserve">730-day window, whereas recorded history reaches a median of 1,792 days</w:t>
      </w:r>
      <w:r>
        <w:t xml:space="preserve"> </w:t>
      </w:r>
      <w:r>
        <w:t xml:space="preserve">and a maximum of 5,288 across a median of 21 encounters. Every way</w:t>
      </w:r>
      <w:r>
        <w:t xml:space="preserve"> </w:t>
      </w:r>
      <w:r>
        <w:t xml:space="preserve">around that reintroduces a design decision, which is itself worth</w:t>
      </w:r>
      <w:r>
        <w:t xml:space="preserve"> </w:t>
      </w:r>
      <w:r>
        <w:t xml:space="preserve">reporting. Learn a similarity against the outcome, or draw</w:t>
      </w:r>
      <w:r>
        <w:t xml:space="preserve"> </w:t>
      </w:r>
      <w:r>
        <w:t xml:space="preserve">neighbors from several health systems, and see whether retrieval closes</w:t>
      </w:r>
      <w:r>
        <w:t xml:space="preserve"> </w:t>
      </w:r>
      <w:r>
        <w:t xml:space="preserve">the 0.063 gap. And validate the target itself, by chart adjudication and</w:t>
      </w:r>
      <w:r>
        <w:t xml:space="preserve"> </w:t>
      </w:r>
      <w:r>
        <w:t xml:space="preserve">symptom measurement, to find out how often a treatment switch means a treatment failed. Until that is done, the defensible use is research-stage cohort enrichment, not treatment selection.</w:t>
      </w:r>
    </w:p>
    <w:p>
      <w:pPr>
        <w:pStyle w:val="BodyText"/>
      </w:pPr>
      <w:r>
        <w:t xml:space="preserve">One thing retrieval offers that a fitted model does not is that its</w:t>
      </w:r>
      <w:r>
        <w:t xml:space="preserve"> </w:t>
      </w:r>
      <w:r>
        <w:t xml:space="preserve">neighbors are real patients with observed courses. Whether that is</w:t>
      </w:r>
      <w:r>
        <w:t xml:space="preserve"> </w:t>
      </w:r>
      <w:r>
        <w:t xml:space="preserve">worth 0.063 ROC AUC is a question about clinical workflow rather than</w:t>
      </w:r>
      <w:r>
        <w:t xml:space="preserve"> </w:t>
      </w:r>
      <w:r>
        <w:t xml:space="preserve">discrimination, and it needs a different study. The feature vector’s</w:t>
      </w:r>
      <w:r>
        <w:t xml:space="preserve"> </w:t>
      </w:r>
      <w:r>
        <w:t xml:space="preserve">explicit treatment-exposure variables also make a different question</w:t>
      </w:r>
      <w:r>
        <w:t xml:space="preserve"> </w:t>
      </w:r>
      <w:r>
        <w:t xml:space="preserve">tractable: which patients benefit from which next step, rather than who</w:t>
      </w:r>
      <w:r>
        <w:t xml:space="preserve"> </w:t>
      </w:r>
      <w:r>
        <w:t xml:space="preserve">becomes resistant. That is ongoing work.</w:t>
      </w:r>
    </w:p>
    <w:bookmarkEnd w:id="24"/>
    <w:bookmarkStart w:id="25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Writing a structured EHR out as text and embedding it with a general-purpose</w:t>
      </w:r>
      <w:r>
        <w:t xml:space="preserve"> </w:t>
      </w:r>
      <w:r>
        <w:t xml:space="preserve">transformer extracted the same predictive signal as a typed feature vector</w:t>
      </w:r>
      <w:r>
        <w:t xml:space="preserve"> </w:t>
      </w:r>
      <w:r>
        <w:t xml:space="preserve">built from the same record, and no more of it. The embedding’s contribution was</w:t>
      </w:r>
      <w:r>
        <w:t xml:space="preserve"> </w:t>
      </w:r>
      <w:r>
        <w:t xml:space="preserve">reorganization rather than discrimination, and its apparent advantage or</w:t>
      </w:r>
      <w:r>
        <w:t xml:space="preserve"> </w:t>
      </w:r>
      <w:r>
        <w:t xml:space="preserve">disadvantage depended entirely on which classifier was applied to it.</w:t>
      </w:r>
    </w:p>
    <w:p>
      <w:pPr>
        <w:pStyle w:val="BodyText"/>
      </w:pPr>
      <w:r>
        <w:t xml:space="preserve">Predicting a patient from the recorded outcomes of their nearest neighbors</w:t>
      </w:r>
      <w:r>
        <w:t xml:space="preserve"> </w:t>
      </w:r>
      <w:r>
        <w:t xml:space="preserve">recovered part of that signal and still lost decisively to a model fitted on</w:t>
      </w:r>
      <w:r>
        <w:t xml:space="preserve"> </w:t>
      </w:r>
      <w:r>
        <w:t xml:space="preserve">the same embedding, on every encoder tested. The digital-twin premise in its</w:t>
      </w:r>
      <w:r>
        <w:t xml:space="preserve"> </w:t>
      </w:r>
      <w:r>
        <w:t xml:space="preserve">unsupervised geometric form is therefore not competitive here.</w:t>
      </w:r>
    </w:p>
    <w:p>
      <w:pPr>
        <w:pStyle w:val="BodyText"/>
      </w:pPr>
      <w:r>
        <w:t xml:space="preserve">Both results rest on hand-picked patient data. Predictor selection ran once and</w:t>
      </w:r>
      <w:r>
        <w:t xml:space="preserve"> </w:t>
      </w:r>
      <w:r>
        <w:t xml:space="preserve">served both arms, so the engineering was relocated rather than removed, and</w:t>
      </w:r>
      <w:r>
        <w:t xml:space="preserve"> </w:t>
      </w:r>
      <w:r>
        <w:t xml:space="preserve">neither result is evidence about what a model would do with a raw record.</w:t>
      </w:r>
      <w:r>
        <w:t xml:space="preserve"> </w:t>
      </w:r>
      <w:r>
        <w:t xml:space="preserve">Embedding a whole untailored history was not attempted because record length</w:t>
      </w:r>
      <w:r>
        <w:t xml:space="preserve"> </w:t>
      </w:r>
      <w:r>
        <w:t xml:space="preserve">stands in the way, and that experiment remains the interesting one.</w:t>
      </w:r>
    </w:p>
    <w:p>
      <w:pPr>
        <w:pStyle w:val="BodyText"/>
      </w:pPr>
      <w:r>
        <w:t xml:space="preserve">Nothing here is close to clinical utility at a ROC AUC near 0.65, and</w:t>
      </w:r>
      <w:r>
        <w:t xml:space="preserve"> </w:t>
      </w:r>
      <w:r>
        <w:t xml:space="preserve">the outcome is a treatment-switch pattern whose relationship to verified</w:t>
      </w:r>
      <w:r>
        <w:t xml:space="preserve"> </w:t>
      </w:r>
      <w:r>
        <w:t xml:space="preserve">non-response is untested. Three things would decide whether any of it</w:t>
      </w:r>
      <w:r>
        <w:t xml:space="preserve"> </w:t>
      </w:r>
      <w:r>
        <w:t xml:space="preserve">matters. The first is whether the signal survives in another health</w:t>
      </w:r>
      <w:r>
        <w:t xml:space="preserve"> </w:t>
      </w:r>
      <w:r>
        <w:t xml:space="preserve">system. The second is whether it beats a simple baseline built from care</w:t>
      </w:r>
      <w:r>
        <w:t xml:space="preserve"> </w:t>
      </w:r>
      <w:r>
        <w:t xml:space="preserve">history alone. The third is whether it finds patients whose symptoms</w:t>
      </w:r>
      <w:r>
        <w:t xml:space="preserve"> </w:t>
      </w:r>
      <w:r>
        <w:t xml:space="preserve">were measured and did not improve, rather than patients whose path</w:t>
      </w:r>
      <w:r>
        <w:t xml:space="preserve"> </w:t>
      </w:r>
      <w:r>
        <w:t xml:space="preserve">through the system was shaped by insurance, access and prescribing</w:t>
      </w:r>
      <w:r>
        <w:t xml:space="preserve"> </w:t>
      </w:r>
      <w:r>
        <w:t xml:space="preserve">habit.</w:t>
      </w:r>
    </w:p>
    <w:bookmarkEnd w:id="25"/>
    <w:bookmarkEnd w:id="26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2026-09-08T19:38:30Z</dcterms:created>
  <dcterms:modified xsi:type="dcterms:W3CDTF">2026-09-08T19:38:30Z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