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clarations"/>
    <w:p>
      <w:pPr>
        <w:pStyle w:val="Heading1"/>
      </w:pPr>
      <w:r>
        <w:t xml:space="preserve">Declarations</w:t>
      </w:r>
    </w:p>
    <w:p>
      <w:pPr>
        <w:pStyle w:val="FirstParagraph"/>
      </w:pPr>
      <w:r>
        <w:rPr>
          <w:bCs/>
          <w:b/>
        </w:rPr>
        <w:t xml:space="preserve">Funding.</w:t>
      </w:r>
      <w:r>
        <w:t xml:space="preserve"> </w:t>
      </w:r>
      <w:r>
        <w:t xml:space="preserve">This work was funded by the William K. Warren Foundation. No</w:t>
      </w:r>
      <w:r>
        <w:t xml:space="preserve"> </w:t>
      </w:r>
      <w:r>
        <w:t xml:space="preserve">other funding agency in the public, commercial, or not-for-profit sectors</w:t>
      </w:r>
      <w:r>
        <w:t xml:space="preserve"> </w:t>
      </w:r>
      <w:r>
        <w:t xml:space="preserve">supported this research. M. Ferguson was supported by a graduate</w:t>
      </w:r>
      <w:r>
        <w:t xml:space="preserve"> </w:t>
      </w:r>
      <w:r>
        <w:t xml:space="preserve">assistantship from the Laureate Institute for Brain Research while</w:t>
      </w:r>
      <w:r>
        <w:t xml:space="preserve"> </w:t>
      </w:r>
      <w:r>
        <w:t xml:space="preserve">enrolled as a graduate student at The University of Tulsa. The funder had</w:t>
      </w:r>
      <w:r>
        <w:t xml:space="preserve"> </w:t>
      </w:r>
      <w:r>
        <w:t xml:space="preserve">no role in the design of the study, the analysis or interpretation of the</w:t>
      </w:r>
      <w:r>
        <w:t xml:space="preserve"> </w:t>
      </w:r>
      <w:r>
        <w:t xml:space="preserve">data, the writing of the manuscript, or the decision to submit it for</w:t>
      </w:r>
      <w:r>
        <w:t xml:space="preserve"> </w:t>
      </w:r>
      <w:r>
        <w:t xml:space="preserve">publication.</w:t>
      </w:r>
    </w:p>
    <w:p>
      <w:pPr>
        <w:pStyle w:val="BodyText"/>
      </w:pPr>
      <w:r>
        <w:rPr>
          <w:bCs/>
          <w:b/>
        </w:rPr>
        <w:t xml:space="preserve">Conflicts of interest.</w:t>
      </w:r>
      <w:r>
        <w:t xml:space="preserve"> </w:t>
      </w:r>
      <w:r>
        <w:t xml:space="preserve">None declared.</w:t>
      </w:r>
    </w:p>
    <w:p>
      <w:pPr>
        <w:pStyle w:val="BodyText"/>
      </w:pPr>
      <w:r>
        <w:rPr>
          <w:bCs/>
          <w:b/>
        </w:rPr>
        <w:t xml:space="preserve">Ethics and data handling.</w:t>
      </w:r>
      <w:r>
        <w:t xml:space="preserve"> </w:t>
      </w:r>
      <w:r>
        <w:t xml:space="preserve">This study is a secondary analysis of</w:t>
      </w:r>
      <w:r>
        <w:t xml:space="preserve"> </w:t>
      </w:r>
      <w:r>
        <w:t xml:space="preserve">de-identified data and is therefore not human-subjects research subject</w:t>
      </w:r>
      <w:r>
        <w:t xml:space="preserve"> </w:t>
      </w:r>
      <w:r>
        <w:t xml:space="preserve">to institutional review board approval; no IRB review, protocol number,</w:t>
      </w:r>
      <w:r>
        <w:t xml:space="preserve"> </w:t>
      </w:r>
      <w:r>
        <w:t xml:space="preserve">or waiver of informed consent applies. The analysis used a de-identified</w:t>
      </w:r>
      <w:r>
        <w:t xml:space="preserve"> </w:t>
      </w:r>
      <w:r>
        <w:t xml:space="preserve">EHR extract containing no direct patient identifiers, and no protected</w:t>
      </w:r>
      <w:r>
        <w:t xml:space="preserve"> </w:t>
      </w:r>
      <w:r>
        <w:t xml:space="preserve">health information was accessible to the investigators at any stage. All computation was performed on local institutional hardware, including the sentence-transformer embedding of the patient narratives. No patient data,</w:t>
      </w:r>
      <w:r>
        <w:t xml:space="preserve"> </w:t>
      </w:r>
      <w:r>
        <w:t xml:space="preserve">structured or narrative, was transmitted to any external, third-party,</w:t>
      </w:r>
      <w:r>
        <w:t xml:space="preserve"> </w:t>
      </w:r>
      <w:r>
        <w:t xml:space="preserve">or commercial service or application programming interface.</w:t>
      </w:r>
    </w:p>
    <w:p>
      <w:pPr>
        <w:pStyle w:val="BodyText"/>
      </w:pPr>
      <w:r>
        <w:rPr>
          <w:bCs/>
          <w:b/>
        </w:rPr>
        <w:t xml:space="preserve">Authors’ contributions.</w:t>
      </w:r>
      <w:r>
        <w:t xml:space="preserve"> </w:t>
      </w:r>
      <w:r>
        <w:t xml:space="preserve">MF designed and implemented the analysis</w:t>
      </w:r>
      <w:r>
        <w:t xml:space="preserve"> </w:t>
      </w:r>
      <w:r>
        <w:t xml:space="preserve">pipeline, performed all modelling and statistical analysis, produced the</w:t>
      </w:r>
      <w:r>
        <w:t xml:space="preserve"> </w:t>
      </w:r>
      <w:r>
        <w:t xml:space="preserve">figures and tables, and wrote the manuscript. MP directed the project and</w:t>
      </w:r>
      <w:r>
        <w:t xml:space="preserve"> </w:t>
      </w:r>
      <w:r>
        <w:t xml:space="preserve">supervised its scientific design and interpretation. KLF prepared the</w:t>
      </w:r>
      <w:r>
        <w:t xml:space="preserve"> </w:t>
      </w:r>
      <w:r>
        <w:t xml:space="preserve">upstream clinical data, including the treatment-resistant depression</w:t>
      </w:r>
      <w:r>
        <w:t xml:space="preserve"> </w:t>
      </w:r>
      <w:r>
        <w:t xml:space="preserve">labels and the antidepressant index dates that define the cohort and the</w:t>
      </w:r>
      <w:r>
        <w:t xml:space="preserve"> </w:t>
      </w:r>
      <w:r>
        <w:t xml:space="preserve">outcome. RK, SS, and DP provided methodological feedback and guidance on</w:t>
      </w:r>
      <w:r>
        <w:t xml:space="preserve"> </w:t>
      </w:r>
      <w:r>
        <w:t xml:space="preserve">the analysis and its interpretation throughout. All authors reviewed and</w:t>
      </w:r>
      <w:r>
        <w:t xml:space="preserve"> </w:t>
      </w:r>
      <w:r>
        <w:t xml:space="preserve">approved the final manuscript.</w:t>
      </w:r>
    </w:p>
    <w:p>
      <w:pPr>
        <w:pStyle w:val="BodyText"/>
      </w:pPr>
      <w:r>
        <w:rPr>
          <w:bCs/>
          <w:b/>
        </w:rPr>
        <w:t xml:space="preserve">Patient and public involvement.</w:t>
      </w:r>
      <w:r>
        <w:t xml:space="preserve"> </w:t>
      </w:r>
      <w:r>
        <w:t xml:space="preserve">No patients or members of the public</w:t>
      </w:r>
      <w:r>
        <w:t xml:space="preserve"> </w:t>
      </w:r>
      <w:r>
        <w:t xml:space="preserve">were involved in the design, conduct, reporting, or dissemination of this</w:t>
      </w:r>
      <w:r>
        <w:t xml:space="preserve"> </w:t>
      </w:r>
      <w:r>
        <w:t xml:space="preserve">study.</w:t>
      </w:r>
    </w:p>
    <w:p>
      <w:pPr>
        <w:pStyle w:val="BodyText"/>
      </w:pPr>
      <w:r>
        <w:rPr>
          <w:bCs/>
          <w:b/>
        </w:rPr>
        <w:t xml:space="preserve">Protocol.</w:t>
      </w:r>
      <w:r>
        <w:t xml:space="preserve"> </w:t>
      </w:r>
      <w:r>
        <w:t xml:space="preserve">A study protocol was not prepared.</w:t>
      </w:r>
    </w:p>
    <w:p>
      <w:pPr>
        <w:pStyle w:val="BodyText"/>
      </w:pPr>
      <w:r>
        <w:rPr>
          <w:bCs/>
          <w:b/>
        </w:rPr>
        <w:t xml:space="preserve">Registration.</w:t>
      </w:r>
      <w:r>
        <w:t xml:space="preserve"> </w:t>
      </w:r>
      <w:r>
        <w:t xml:space="preserve">This study was not registered.</w:t>
      </w:r>
    </w:p>
    <w:p>
      <w:pPr>
        <w:pStyle w:val="BodyText"/>
      </w:pPr>
      <w:r>
        <w:rPr>
          <w:bCs/>
          <w:b/>
        </w:rPr>
        <w:t xml:space="preserve">Data availability.</w:t>
      </w:r>
      <w:r>
        <w:t xml:space="preserve"> </w:t>
      </w:r>
      <w:r>
        <w:t xml:space="preserve">The EHR data are not publicly shareable. The analysis</w:t>
      </w:r>
      <w:r>
        <w:t xml:space="preserve"> </w:t>
      </w:r>
      <w:r>
        <w:t xml:space="preserve">code is publicly available [29]. Fitted model objects are not distributed, as</w:t>
      </w:r>
      <w:r>
        <w:t xml:space="preserve"> </w:t>
      </w:r>
      <w:r>
        <w:t xml:space="preserve">they are derived from non-shareable patient data.</w:t>
      </w:r>
    </w:p>
    <w:p>
      <w:pPr>
        <w:pStyle w:val="BodyText"/>
      </w:pPr>
      <w:r>
        <w:rPr>
          <w:bCs/>
          <w:b/>
        </w:rPr>
        <w:t xml:space="preserve">Reporting.</w:t>
      </w:r>
      <w:r>
        <w:t xml:space="preserve"> </w:t>
      </w:r>
      <w:r>
        <w:t xml:space="preserve">This study is reported in accordance with the TRIPOD+AI</w:t>
      </w:r>
      <w:r>
        <w:t xml:space="preserve"> </w:t>
      </w:r>
      <w:r>
        <w:t xml:space="preserve">guideline for prediction-model studies [3]. The completed TRIPOD+AI</w:t>
      </w:r>
      <w:r>
        <w:t xml:space="preserve"> </w:t>
      </w:r>
      <w:r>
        <w:t xml:space="preserve">checklist is provided as a separate submission document.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2026-09-08T19:38:30Z</dcterms:created>
  <dcterms:modified xsi:type="dcterms:W3CDTF">2026-09-08T19:38:30Z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